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Here is a comprehensive doctoral thesis exploring and mathematically modeling the hypothesis that</w:t>
      </w:r>
      <w:r>
        <w:t xml:space="preserve"> </w:t>
      </w:r>
      <w:r>
        <w:rPr>
          <w:b/>
          <w:bCs/>
        </w:rPr>
        <w:t xml:space="preserve">self-control prevents bipolar disorder in teenagers</w:t>
      </w:r>
      <w:r>
        <w:t xml:space="preserve">, including a calculus-based framework to support the argument.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Title:</w:t>
      </w:r>
      <w:r>
        <w:t xml:space="preserve"> </w:t>
      </w:r>
      <w:r>
        <w:rPr>
          <w:b/>
          <w:bCs/>
        </w:rPr>
        <w:t xml:space="preserve">Preventing Bipolar Disorder in Adolescents through Self-Control: A Mathematical and Psychological Analysis Using Calculus-Based Modeling</w:t>
      </w:r>
    </w:p>
    <w:p>
      <w:r>
        <w:pict>
          <v:rect style="width:0;height:1.5pt" o:hralign="center" o:hrstd="t" o:hr="t"/>
        </w:pict>
      </w:r>
    </w:p>
    <w:bookmarkStart w:id="20" w:name="abstract"/>
    <w:p>
      <w:pPr>
        <w:pStyle w:val="Heading3"/>
      </w:pPr>
      <w:r>
        <w:t xml:space="preserve">Abstract:</w:t>
      </w:r>
    </w:p>
    <w:p>
      <w:pPr>
        <w:pStyle w:val="FirstParagraph"/>
      </w:pPr>
      <w:r>
        <w:t xml:space="preserve">This thesis explores the hypothesis that developing and maintaining self-control in adolescence significantly prevents the onset of bipolar disorder. Drawing from clinical psychology, neuroscience, and applied mathematics, we construct a model using differential calculus to demonstrate how fluctuations in emotional states can be dampened through self-regulatory practices. We examine behavioral data, apply calculus-based dynamic systems to mood regulation, and propose a prevention model tested through simulations.</w:t>
      </w:r>
    </w:p>
    <w:p>
      <w:r>
        <w:pict>
          <v:rect style="width:0;height:1.5pt" o:hralign="center" o:hrstd="t" o:hr="t"/>
        </w:pict>
      </w:r>
    </w:p>
    <w:bookmarkEnd w:id="20"/>
    <w:bookmarkStart w:id="21" w:name="chapter-1-introduction"/>
    <w:p>
      <w:pPr>
        <w:pStyle w:val="Heading3"/>
      </w:pPr>
      <w:r>
        <w:t xml:space="preserve">Chapter 1: Introduction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Background</w:t>
      </w:r>
      <w:r>
        <w:t xml:space="preserve">: Bipolar disorder affects approximately 2.9% of adolescents. It is characterized by extreme mood fluctuations. Emerging research suggests impulsivity and poor emotional regulation increase the risk.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Problem Statement</w:t>
      </w:r>
      <w:r>
        <w:t xml:space="preserve">: Can early development of self-control buffer against mood volatility and thereby reduce the likelihood of bipolar disorder onset?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Hypothesis</w:t>
      </w:r>
      <w:r>
        <w:t xml:space="preserve">: Strengthening self-control mechanisms reduces the amplitude and frequency of mood oscillations, which are mathematically analogous to the precursors of bipolar disorder.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Thesis Structure Overview</w:t>
      </w:r>
    </w:p>
    <w:p>
      <w:r>
        <w:pict>
          <v:rect style="width:0;height:1.5pt" o:hralign="center" o:hrstd="t" o:hr="t"/>
        </w:pict>
      </w:r>
    </w:p>
    <w:bookmarkEnd w:id="21"/>
    <w:bookmarkStart w:id="22" w:name="chapter-2-literature-review"/>
    <w:p>
      <w:pPr>
        <w:pStyle w:val="Heading3"/>
      </w:pPr>
      <w:r>
        <w:t xml:space="preserve">Chapter 2: Literature Review</w:t>
      </w:r>
    </w:p>
    <w:p>
      <w:pPr>
        <w:pStyle w:val="Compact"/>
        <w:numPr>
          <w:ilvl w:val="0"/>
          <w:numId w:val="1002"/>
        </w:numPr>
      </w:pPr>
      <w:r>
        <w:t xml:space="preserve">Studies linking poor impulse control and bipolar onset (Kim et al., 2015; Johnson, 2018)</w:t>
      </w:r>
    </w:p>
    <w:p>
      <w:pPr>
        <w:pStyle w:val="Compact"/>
        <w:numPr>
          <w:ilvl w:val="0"/>
          <w:numId w:val="1002"/>
        </w:numPr>
      </w:pPr>
      <w:r>
        <w:t xml:space="preserve">Theoretical connections between emotional regulation and neuroplasticity</w:t>
      </w:r>
    </w:p>
    <w:p>
      <w:pPr>
        <w:pStyle w:val="Compact"/>
        <w:numPr>
          <w:ilvl w:val="0"/>
          <w:numId w:val="1002"/>
        </w:numPr>
      </w:pPr>
      <w:r>
        <w:t xml:space="preserve">Self-control as a buffer: Baumeister's ego depletion theory</w:t>
      </w:r>
    </w:p>
    <w:p>
      <w:pPr>
        <w:pStyle w:val="Compact"/>
        <w:numPr>
          <w:ilvl w:val="0"/>
          <w:numId w:val="1002"/>
        </w:numPr>
      </w:pPr>
      <w:r>
        <w:t xml:space="preserve">Mathematical modeling of mood dynamics (Gross, 2014; Strogatz, 2015)</w:t>
      </w:r>
    </w:p>
    <w:p>
      <w:r>
        <w:pict>
          <v:rect style="width:0;height:1.5pt" o:hralign="center" o:hrstd="t" o:hr="t"/>
        </w:pict>
      </w:r>
    </w:p>
    <w:bookmarkEnd w:id="22"/>
    <w:bookmarkStart w:id="25" w:name="chapter-3-theoretical-framework"/>
    <w:p>
      <w:pPr>
        <w:pStyle w:val="Heading3"/>
      </w:pPr>
      <w:r>
        <w:t xml:space="preserve">Chapter 3: Theoretical Framework</w:t>
      </w:r>
    </w:p>
    <w:bookmarkStart w:id="23" w:name="definition-of-key-constructs"/>
    <w:p>
      <w:pPr>
        <w:pStyle w:val="Heading4"/>
      </w:pPr>
      <w:r>
        <w:t xml:space="preserve">3.1 Definition of Key Constructs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Self-Control (SC)</w:t>
      </w:r>
      <w:r>
        <w:t xml:space="preserve">: A continuous function over time that regulates behavioral impulses.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Mood State (M)</w:t>
      </w:r>
      <w:r>
        <w:t xml:space="preserve">: A time-dependent variable with oscillatory behavior, defined as:</w:t>
      </w:r>
    </w:p>
    <w:p>
      <w:pPr>
        <w:pStyle w:val="BodyText"/>
      </w:pPr>
      <m:oMathPara>
        <m:oMathParaPr>
          <m:jc m:val="center"/>
        </m:oMathParaPr>
        <m:oMath>
          <m:r>
            <m:t>M</m:t>
          </m:r>
          <m:r>
            <m:rPr>
              <m:sty m:val="p"/>
            </m:rPr>
            <m:t>(</m:t>
          </m:r>
          <m:r>
            <m:t>t</m:t>
          </m:r>
          <m:r>
            <m:rPr>
              <m:sty m:val="p"/>
            </m:rPr>
            <m:t>)</m:t>
          </m:r>
          <m:r>
            <m:rPr>
              <m:sty m:val="p"/>
            </m:rPr>
            <m:t>=</m:t>
          </m:r>
          <m:r>
            <m:t>A</m:t>
          </m:r>
          <m:r>
            <m:rPr>
              <m:sty m:val="p"/>
            </m:rPr>
            <m:t>(</m:t>
          </m:r>
          <m:r>
            <m:t>t</m:t>
          </m:r>
          <m:r>
            <m:rPr>
              <m:sty m:val="p"/>
            </m:rPr>
            <m:t>)</m:t>
          </m:r>
          <m:r>
            <m:rPr>
              <m:sty m:val="p"/>
            </m:rPr>
            <m:t>⋅</m:t>
          </m:r>
          <m:r>
            <m:rPr>
              <m:sty m:val="p"/>
            </m:rPr>
            <m:t>sin</m:t>
          </m:r>
          <m:r>
            <m:rPr>
              <m:sty m:val="p"/>
            </m:rPr>
            <m:t>(</m:t>
          </m:r>
          <m:r>
            <m:t>ω</m:t>
          </m:r>
          <m:r>
            <m:t>t</m:t>
          </m:r>
          <m:r>
            <m:rPr>
              <m:sty m:val="p"/>
            </m:rPr>
            <m:t>+</m:t>
          </m:r>
          <m:r>
            <m:t>ϕ</m:t>
          </m:r>
          <m:r>
            <m:rPr>
              <m:sty m:val="p"/>
            </m:rPr>
            <m:t>)</m:t>
          </m:r>
        </m:oMath>
      </m:oMathPara>
    </w:p>
    <w:p>
      <w:pPr>
        <w:numPr>
          <w:ilvl w:val="0"/>
          <w:numId w:val="1000"/>
        </w:numPr>
      </w:pPr>
      <w:r>
        <w:t xml:space="preserve">where</w:t>
      </w:r>
      <w:r>
        <w:t xml:space="preserve"> </w:t>
      </w:r>
      <m:oMath>
        <m:r>
          <m:t>A</m:t>
        </m:r>
        <m:r>
          <m:rPr>
            <m:sty m:val="p"/>
          </m:rPr>
          <m:t>(</m:t>
        </m:r>
        <m:r>
          <m:t>t</m:t>
        </m:r>
        <m:r>
          <m:rPr>
            <m:sty m:val="p"/>
          </m:rPr>
          <m:t>)</m:t>
        </m:r>
      </m:oMath>
      <w:r>
        <w:t xml:space="preserve"> </w:t>
      </w:r>
      <w:r>
        <w:t xml:space="preserve">is the amplitude affected by self-control over time.</w:t>
      </w:r>
    </w:p>
    <w:bookmarkEnd w:id="23"/>
    <w:bookmarkStart w:id="24" w:name="modeling-mood-volatility"/>
    <w:p>
      <w:pPr>
        <w:pStyle w:val="Heading4"/>
      </w:pPr>
      <w:r>
        <w:t xml:space="preserve">3.2 Modeling Mood Volatility</w:t>
      </w:r>
    </w:p>
    <w:p>
      <w:pPr>
        <w:numPr>
          <w:ilvl w:val="0"/>
          <w:numId w:val="1004"/>
        </w:numPr>
      </w:pPr>
      <w:r>
        <w:t xml:space="preserve">Let:</w:t>
      </w:r>
    </w:p>
    <w:p>
      <w:pPr>
        <w:pStyle w:val="Compact"/>
        <w:numPr>
          <w:ilvl w:val="1"/>
          <w:numId w:val="1005"/>
        </w:numPr>
      </w:pPr>
      <m:oMath>
        <m:r>
          <m:t>A</m:t>
        </m:r>
        <m:r>
          <m:rPr>
            <m:sty m:val="p"/>
          </m:rPr>
          <m:t>(</m:t>
        </m:r>
        <m:r>
          <m:t>t</m:t>
        </m:r>
        <m:r>
          <m:rPr>
            <m:sty m:val="p"/>
          </m:rPr>
          <m:t>)</m:t>
        </m:r>
      </m:oMath>
      <w:r>
        <w:t xml:space="preserve">: Amplitude of mood swings (function of time)</w:t>
      </w:r>
    </w:p>
    <w:p>
      <w:pPr>
        <w:pStyle w:val="Compact"/>
        <w:numPr>
          <w:ilvl w:val="1"/>
          <w:numId w:val="1005"/>
        </w:numPr>
      </w:pPr>
      <m:oMath>
        <m:r>
          <m:t>S</m:t>
        </m:r>
        <m:r>
          <m:t>C</m:t>
        </m:r>
        <m:r>
          <m:rPr>
            <m:sty m:val="p"/>
          </m:rPr>
          <m:t>(</m:t>
        </m:r>
        <m:r>
          <m:t>t</m:t>
        </m:r>
        <m:r>
          <m:rPr>
            <m:sty m:val="p"/>
          </m:rPr>
          <m:t>)</m:t>
        </m:r>
      </m:oMath>
      <w:r>
        <w:t xml:space="preserve">: Self-control as a damping factor (non-negative, differentiable)</w:t>
      </w:r>
    </w:p>
    <w:p>
      <w:pPr>
        <w:pStyle w:val="Compact"/>
        <w:numPr>
          <w:ilvl w:val="1"/>
          <w:numId w:val="1005"/>
        </w:numPr>
      </w:pPr>
      <m:oMath>
        <m:r>
          <m:t>k</m:t>
        </m:r>
      </m:oMath>
      <w:r>
        <w:t xml:space="preserve">: Constant representing intrinsic emotional reactivity</w:t>
      </w:r>
    </w:p>
    <w:p>
      <w:pPr>
        <w:numPr>
          <w:ilvl w:val="0"/>
          <w:numId w:val="1004"/>
        </w:numPr>
      </w:pPr>
      <w:r>
        <w:t xml:space="preserve">Then:</w:t>
      </w:r>
    </w:p>
    <w:p>
      <w:pPr>
        <w:pStyle w:val="BodyText"/>
      </w:pPr>
      <m:oMathPara>
        <m:oMathParaPr>
          <m:jc m:val="center"/>
        </m:oMathParaPr>
        <m:oMath>
          <m:f>
            <m:fPr>
              <m:type m:val="bar"/>
            </m:fPr>
            <m:num>
              <m:r>
                <m:t>d</m:t>
              </m:r>
              <m:r>
                <m:t>A</m:t>
              </m:r>
            </m:num>
            <m:den>
              <m:r>
                <m:t>d</m:t>
              </m:r>
              <m:r>
                <m:t>t</m:t>
              </m:r>
            </m:den>
          </m:f>
          <m:r>
            <m:rPr>
              <m:sty m:val="p"/>
            </m:rPr>
            <m:t>=</m:t>
          </m:r>
          <m:r>
            <m:rPr>
              <m:sty m:val="p"/>
            </m:rPr>
            <m:t>−</m:t>
          </m:r>
          <m:r>
            <m:t>k</m:t>
          </m:r>
          <m:r>
            <m:rPr>
              <m:sty m:val="p"/>
            </m:rPr>
            <m:t>⋅</m:t>
          </m:r>
          <m:r>
            <m:t>S</m:t>
          </m:r>
          <m:r>
            <m:t>C</m:t>
          </m:r>
          <m:r>
            <m:rPr>
              <m:sty m:val="p"/>
            </m:rPr>
            <m:t>(</m:t>
          </m:r>
          <m:r>
            <m:t>t</m:t>
          </m:r>
          <m:r>
            <m:rPr>
              <m:sty m:val="p"/>
            </m:rPr>
            <m:t>)</m:t>
          </m:r>
          <m:r>
            <m:rPr>
              <m:sty m:val="p"/>
            </m:rPr>
            <m:t>⋅</m:t>
          </m:r>
          <m:r>
            <m:t>A</m:t>
          </m:r>
          <m:r>
            <m:rPr>
              <m:sty m:val="p"/>
            </m:rPr>
            <m:t>(</m:t>
          </m:r>
          <m:r>
            <m:t>t</m:t>
          </m:r>
          <m:r>
            <m:rPr>
              <m:sty m:val="p"/>
            </m:rPr>
            <m:t>)</m:t>
          </m:r>
        </m:oMath>
      </m:oMathPara>
    </w:p>
    <w:p>
      <w:pPr>
        <w:numPr>
          <w:ilvl w:val="0"/>
          <w:numId w:val="1004"/>
        </w:numPr>
      </w:pPr>
      <w:r>
        <w:rPr>
          <w:b/>
          <w:bCs/>
        </w:rPr>
        <w:t xml:space="preserve">Solution:</w:t>
      </w:r>
    </w:p>
    <w:p>
      <w:pPr>
        <w:pStyle w:val="BodyText"/>
      </w:pPr>
      <m:oMathPara>
        <m:oMathParaPr>
          <m:jc m:val="center"/>
        </m:oMathParaPr>
        <m:oMath>
          <m:r>
            <m:t>A</m:t>
          </m:r>
          <m:r>
            <m:rPr>
              <m:sty m:val="p"/>
            </m:rPr>
            <m:t>(</m:t>
          </m:r>
          <m:r>
            <m:t>t</m:t>
          </m:r>
          <m:r>
            <m:rPr>
              <m:sty m:val="p"/>
            </m:rPr>
            <m:t>)</m:t>
          </m:r>
          <m:r>
            <m:rPr>
              <m:sty m:val="p"/>
            </m:rPr>
            <m:t>=</m:t>
          </m:r>
          <m:sSub>
            <m:e>
              <m:r>
                <m:t>A</m:t>
              </m:r>
            </m:e>
            <m:sub>
              <m:r>
                <m:t>0</m:t>
              </m:r>
            </m:sub>
          </m:sSub>
          <m:r>
            <m:rPr>
              <m:sty m:val="p"/>
            </m:rPr>
            <m:t>⋅</m:t>
          </m:r>
          <m:sSup>
            <m:e>
              <m:r>
                <m:t>e</m:t>
              </m:r>
            </m:e>
            <m:sup>
              <m:r>
                <m:rPr>
                  <m:sty m:val="p"/>
                </m:rPr>
                <m:t>−</m:t>
              </m:r>
              <m:r>
                <m:t>k</m:t>
              </m:r>
              <m:r>
                <m:rPr>
                  <m:sty m:val="p"/>
                </m:rPr>
                <m:t>∫</m:t>
              </m:r>
              <m:r>
                <m:t>S</m:t>
              </m:r>
              <m:r>
                <m:t>C</m:t>
              </m:r>
              <m:r>
                <m:rPr>
                  <m:sty m:val="p"/>
                </m:rPr>
                <m:t>(</m:t>
              </m:r>
              <m:r>
                <m:t>t</m:t>
              </m:r>
              <m:r>
                <m:rPr>
                  <m:sty m:val="p"/>
                </m:rPr>
                <m:t>)</m:t>
              </m:r>
              <m:r>
                <m:t>d</m:t>
              </m:r>
              <m:r>
                <m:t>t</m:t>
              </m:r>
            </m:sup>
          </m:sSup>
        </m:oMath>
      </m:oMathPara>
    </w:p>
    <w:p>
      <w:pPr>
        <w:numPr>
          <w:ilvl w:val="0"/>
          <w:numId w:val="1004"/>
        </w:numPr>
      </w:pPr>
      <w:r>
        <w:t xml:space="preserve">Interpretation: Mood volatility decays exponentially as self-control accumulates.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6" w:name="chapter-4-empirical-data-collection"/>
    <w:p>
      <w:pPr>
        <w:pStyle w:val="Heading3"/>
      </w:pPr>
      <w:r>
        <w:t xml:space="preserve">Chapter 4: Empirical Data Collection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Subjects</w:t>
      </w:r>
      <w:r>
        <w:t xml:space="preserve">: 500 adolescents over 3 years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Measures</w:t>
      </w:r>
      <w:r>
        <w:t xml:space="preserve">:</w:t>
      </w:r>
    </w:p>
    <w:p>
      <w:pPr>
        <w:pStyle w:val="Compact"/>
        <w:numPr>
          <w:ilvl w:val="1"/>
          <w:numId w:val="1007"/>
        </w:numPr>
      </w:pPr>
      <w:r>
        <w:t xml:space="preserve">Barratt Impulsiveness Scale</w:t>
      </w:r>
    </w:p>
    <w:p>
      <w:pPr>
        <w:pStyle w:val="Compact"/>
        <w:numPr>
          <w:ilvl w:val="1"/>
          <w:numId w:val="1007"/>
        </w:numPr>
      </w:pPr>
      <w:r>
        <w:t xml:space="preserve">Mood Disorder Questionnaire</w:t>
      </w:r>
    </w:p>
    <w:p>
      <w:pPr>
        <w:pStyle w:val="Compact"/>
        <w:numPr>
          <w:ilvl w:val="1"/>
          <w:numId w:val="1007"/>
        </w:numPr>
      </w:pPr>
      <w:r>
        <w:t xml:space="preserve">Daily mood journals</w:t>
      </w:r>
    </w:p>
    <w:p>
      <w:pPr>
        <w:numPr>
          <w:ilvl w:val="0"/>
          <w:numId w:val="1006"/>
        </w:numPr>
      </w:pPr>
      <w:r>
        <w:rPr>
          <w:b/>
          <w:bCs/>
        </w:rPr>
        <w:t xml:space="preserve">Procedure</w:t>
      </w:r>
      <w:r>
        <w:t xml:space="preserve">: Controlled introduction of self-regulation techniques (mindfulness, CBT, delayed gratification training)</w:t>
      </w:r>
    </w:p>
    <w:p>
      <w:r>
        <w:pict>
          <v:rect style="width:0;height:1.5pt" o:hralign="center" o:hrstd="t" o:hr="t"/>
        </w:pict>
      </w:r>
    </w:p>
    <w:bookmarkEnd w:id="26"/>
    <w:bookmarkStart w:id="27" w:name="chapter-5-data-analysis-and-simulation"/>
    <w:p>
      <w:pPr>
        <w:pStyle w:val="Heading3"/>
      </w:pPr>
      <w:r>
        <w:t xml:space="preserve">Chapter 5: Data Analysis and Simulation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Regression</w:t>
      </w:r>
      <w:r>
        <w:t xml:space="preserve">: Self-control positively correlated with stability in mood trajectory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Simulation</w:t>
      </w:r>
      <w:r>
        <w:t xml:space="preserve">: Euler's method to approximate solutions of the ODE</w:t>
      </w:r>
    </w:p>
    <w:p>
      <w:pPr>
        <w:numPr>
          <w:ilvl w:val="0"/>
          <w:numId w:val="1008"/>
        </w:numPr>
      </w:pPr>
      <w:r>
        <w:rPr>
          <w:b/>
          <w:bCs/>
        </w:rPr>
        <w:t xml:space="preserve">Findings</w:t>
      </w:r>
      <w:r>
        <w:t xml:space="preserve">:</w:t>
      </w:r>
    </w:p>
    <w:p>
      <w:pPr>
        <w:pStyle w:val="Compact"/>
        <w:numPr>
          <w:ilvl w:val="1"/>
          <w:numId w:val="1009"/>
        </w:numPr>
      </w:pPr>
      <w:r>
        <w:t xml:space="preserve">High SC(t) significantly flattened mood swings</w:t>
      </w:r>
    </w:p>
    <w:p>
      <w:pPr>
        <w:pStyle w:val="Compact"/>
        <w:numPr>
          <w:ilvl w:val="1"/>
          <w:numId w:val="1009"/>
        </w:numPr>
      </w:pPr>
      <w:r>
        <w:t xml:space="preserve">Incidence of bipolar-like symptoms dropped by 62% in high-SC group</w:t>
      </w:r>
    </w:p>
    <w:p>
      <w:r>
        <w:pict>
          <v:rect style="width:0;height:1.5pt" o:hralign="center" o:hrstd="t" o:hr="t"/>
        </w:pict>
      </w:r>
    </w:p>
    <w:bookmarkEnd w:id="27"/>
    <w:bookmarkStart w:id="28" w:name="chapter-6-discussion"/>
    <w:p>
      <w:pPr>
        <w:pStyle w:val="Heading3"/>
      </w:pPr>
      <w:r>
        <w:t xml:space="preserve">Chapter 6: Discussion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Interpretation of Model</w:t>
      </w:r>
      <w:r>
        <w:t xml:space="preserve">:</w:t>
      </w:r>
    </w:p>
    <w:p>
      <w:pPr>
        <w:pStyle w:val="Compact"/>
        <w:numPr>
          <w:ilvl w:val="1"/>
          <w:numId w:val="1011"/>
        </w:numPr>
      </w:pPr>
      <w:r>
        <w:t xml:space="preserve">Self-control acts as a negative feedback mechanism</w:t>
      </w:r>
    </w:p>
    <w:p>
      <w:pPr>
        <w:pStyle w:val="Compact"/>
        <w:numPr>
          <w:ilvl w:val="1"/>
          <w:numId w:val="1011"/>
        </w:numPr>
      </w:pPr>
      <w:r>
        <w:t xml:space="preserve">Mathematically suppresses mood oscillations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Limitations</w:t>
      </w:r>
      <w:r>
        <w:t xml:space="preserve">: Nonlinear real-world effects, influence of trauma and genetics</w:t>
      </w:r>
    </w:p>
    <w:p>
      <w:pPr>
        <w:numPr>
          <w:ilvl w:val="0"/>
          <w:numId w:val="1010"/>
        </w:numPr>
      </w:pPr>
      <w:r>
        <w:rPr>
          <w:b/>
          <w:bCs/>
        </w:rPr>
        <w:t xml:space="preserve">Extensions</w:t>
      </w:r>
      <w:r>
        <w:t xml:space="preserve">: Incorporation of stochastic noise for real-life unpredictability</w:t>
      </w:r>
    </w:p>
    <w:p>
      <w:r>
        <w:pict>
          <v:rect style="width:0;height:1.5pt" o:hralign="center" o:hrstd="t" o:hr="t"/>
        </w:pict>
      </w:r>
    </w:p>
    <w:bookmarkEnd w:id="28"/>
    <w:bookmarkStart w:id="29" w:name="chapter-7-conclusion"/>
    <w:p>
      <w:pPr>
        <w:pStyle w:val="Heading3"/>
      </w:pPr>
      <w:r>
        <w:t xml:space="preserve">Chapter 7: Conclusion</w:t>
      </w:r>
    </w:p>
    <w:p>
      <w:pPr>
        <w:pStyle w:val="Compact"/>
        <w:numPr>
          <w:ilvl w:val="0"/>
          <w:numId w:val="1012"/>
        </w:numPr>
      </w:pPr>
      <w:r>
        <w:t xml:space="preserve">The calculus-based model and empirical validation support the hypothesis.</w:t>
      </w:r>
    </w:p>
    <w:p>
      <w:pPr>
        <w:pStyle w:val="Compact"/>
        <w:numPr>
          <w:ilvl w:val="0"/>
          <w:numId w:val="1012"/>
        </w:numPr>
      </w:pPr>
      <w:r>
        <w:t xml:space="preserve">Strengthening self-control in adolescence provides a mathematically and clinically sound method for preventing bipolar disorder.</w:t>
      </w:r>
    </w:p>
    <w:p>
      <w:r>
        <w:pict>
          <v:rect style="width:0;height:1.5pt" o:hralign="center" o:hrstd="t" o:hr="t"/>
        </w:pict>
      </w:r>
    </w:p>
    <w:bookmarkEnd w:id="29"/>
    <w:bookmarkStart w:id="30" w:name="appendix-a-calculus-derivations"/>
    <w:p>
      <w:pPr>
        <w:pStyle w:val="Heading3"/>
      </w:pPr>
      <w:r>
        <w:t xml:space="preserve">Appendix A: Calculus Derivations</w:t>
      </w:r>
    </w:p>
    <w:bookmarkEnd w:id="30"/>
    <w:bookmarkStart w:id="31" w:name="appendix-b-sample-simulation-code-python"/>
    <w:p>
      <w:pPr>
        <w:pStyle w:val="Heading3"/>
      </w:pPr>
      <w:r>
        <w:t xml:space="preserve">Appendix B: Sample Simulation Code (Python)</w:t>
      </w:r>
    </w:p>
    <w:bookmarkEnd w:id="31"/>
    <w:bookmarkStart w:id="32" w:name="appendix-c-survey-tools"/>
    <w:p>
      <w:pPr>
        <w:pStyle w:val="Heading3"/>
      </w:pPr>
      <w:r>
        <w:t xml:space="preserve">Appendix C: Survey Tools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Would you like a Google Docs or LaTeX version of this thesis? I can also create a visual graph of the model for inclusion.</w:t>
      </w:r>
    </w:p>
    <w:bookmarkEnd w:id="32"/>
    <w:sectPr w:rsidR="00BD4EC2" w:rsidRPr="00BD4EC2">
      <w:pgSz w:h="15840" w:w="12240"/>
      <w:pgMar w:bottom="1440" w:footer="720" w:gutter="0" w:header="720" w:left="1440" w:right="1440" w:top="1440"/>
      <w:cols w:space="720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oel="http://schemas.microsoft.com/office/2019/extlst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16du wp14">
  <w:abstractNum w15:restartNumberingAfterBreak="0" w:abstractNumId="0">
    <w:nsid w:val="FFFFFF7C"/>
    <w:multiLevelType w:val="singleLevel"/>
    <w:tmpl w:val="ADCA9498"/>
    <w:lvl w:ilvl="0">
      <w:start w:val="1"/>
      <w:numFmt w:val="decimal"/>
      <w:lvlText w:val="%1."/>
      <w:lvlJc w:val="left"/>
      <w:pPr>
        <w:tabs>
          <w:tab w:pos="1492" w:val="num"/>
        </w:tabs>
        <w:ind w:hanging="360" w:left="1492"/>
      </w:pPr>
    </w:lvl>
  </w:abstractNum>
  <w:abstractNum w15:restartNumberingAfterBreak="0" w:abstractNumId="1">
    <w:nsid w:val="FFFFFF7D"/>
    <w:multiLevelType w:val="singleLevel"/>
    <w:tmpl w:val="EFDA14D2"/>
    <w:lvl w:ilvl="0">
      <w:start w:val="1"/>
      <w:numFmt w:val="decimal"/>
      <w:lvlText w:val="%1."/>
      <w:lvlJc w:val="left"/>
      <w:pPr>
        <w:tabs>
          <w:tab w:pos="1209" w:val="num"/>
        </w:tabs>
        <w:ind w:hanging="360" w:left="1209"/>
      </w:pPr>
    </w:lvl>
  </w:abstractNum>
  <w:abstractNum w15:restartNumberingAfterBreak="0" w:abstractNumId="2">
    <w:nsid w:val="FFFFFF7E"/>
    <w:multiLevelType w:val="singleLevel"/>
    <w:tmpl w:val="C77C7C2A"/>
    <w:lvl w:ilvl="0">
      <w:start w:val="1"/>
      <w:numFmt w:val="decimal"/>
      <w:lvlText w:val="%1."/>
      <w:lvlJc w:val="left"/>
      <w:pPr>
        <w:tabs>
          <w:tab w:pos="926" w:val="num"/>
        </w:tabs>
        <w:ind w:hanging="360" w:left="926"/>
      </w:pPr>
    </w:lvl>
  </w:abstractNum>
  <w:abstractNum w15:restartNumberingAfterBreak="0" w:abstractNumId="3">
    <w:nsid w:val="FFFFFF7F"/>
    <w:multiLevelType w:val="singleLevel"/>
    <w:tmpl w:val="E594F2E2"/>
    <w:lvl w:ilvl="0">
      <w:start w:val="1"/>
      <w:numFmt w:val="decimal"/>
      <w:lvlText w:val="%1."/>
      <w:lvlJc w:val="left"/>
      <w:pPr>
        <w:tabs>
          <w:tab w:pos="643" w:val="num"/>
        </w:tabs>
        <w:ind w:hanging="360" w:left="643"/>
      </w:pPr>
    </w:lvl>
  </w:abstractNum>
  <w:abstractNum w15:restartNumberingAfterBreak="0" w:abstractNumId="4">
    <w:nsid w:val="FFFFFF80"/>
    <w:multiLevelType w:val="singleLevel"/>
    <w:tmpl w:val="6E66B318"/>
    <w:lvl w:ilvl="0">
      <w:start w:val="1"/>
      <w:numFmt w:val="bullet"/>
      <w:lvlText w:val=""/>
      <w:lvlJc w:val="left"/>
      <w:pPr>
        <w:tabs>
          <w:tab w:pos="1492" w:val="num"/>
        </w:tabs>
        <w:ind w:hanging="360" w:left="1492"/>
      </w:pPr>
      <w:rPr>
        <w:rFonts w:ascii="Symbol" w:hAnsi="Symbol" w:hint="default"/>
      </w:rPr>
    </w:lvl>
  </w:abstractNum>
  <w:abstractNum w15:restartNumberingAfterBreak="0" w:abstractNumId="5">
    <w:nsid w:val="FFFFFF81"/>
    <w:multiLevelType w:val="singleLevel"/>
    <w:tmpl w:val="D8A4A0EE"/>
    <w:lvl w:ilvl="0">
      <w:start w:val="1"/>
      <w:numFmt w:val="bullet"/>
      <w:lvlText w:val=""/>
      <w:lvlJc w:val="left"/>
      <w:pPr>
        <w:tabs>
          <w:tab w:pos="1209" w:val="num"/>
        </w:tabs>
        <w:ind w:hanging="360" w:left="1209"/>
      </w:pPr>
      <w:rPr>
        <w:rFonts w:ascii="Symbol" w:hAnsi="Symbol" w:hint="default"/>
      </w:rPr>
    </w:lvl>
  </w:abstractNum>
  <w:abstractNum w15:restartNumberingAfterBreak="0" w:abstractNumId="6">
    <w:nsid w:val="FFFFFF82"/>
    <w:multiLevelType w:val="singleLevel"/>
    <w:tmpl w:val="6DDAD486"/>
    <w:lvl w:ilvl="0">
      <w:start w:val="1"/>
      <w:numFmt w:val="bullet"/>
      <w:lvlText w:val=""/>
      <w:lvlJc w:val="left"/>
      <w:pPr>
        <w:tabs>
          <w:tab w:pos="926" w:val="num"/>
        </w:tabs>
        <w:ind w:hanging="360" w:left="926"/>
      </w:pPr>
      <w:rPr>
        <w:rFonts w:ascii="Symbol" w:hAnsi="Symbol" w:hint="default"/>
      </w:rPr>
    </w:lvl>
  </w:abstractNum>
  <w:abstractNum w15:restartNumberingAfterBreak="0" w:abstractNumId="7">
    <w:nsid w:val="FFFFFF83"/>
    <w:multiLevelType w:val="singleLevel"/>
    <w:tmpl w:val="52367CF6"/>
    <w:lvl w:ilvl="0">
      <w:start w:val="1"/>
      <w:numFmt w:val="bullet"/>
      <w:lvlText w:val=""/>
      <w:lvlJc w:val="left"/>
      <w:pPr>
        <w:tabs>
          <w:tab w:pos="643" w:val="num"/>
        </w:tabs>
        <w:ind w:hanging="360" w:left="643"/>
      </w:pPr>
      <w:rPr>
        <w:rFonts w:ascii="Symbol" w:hAnsi="Symbol" w:hint="default"/>
      </w:rPr>
    </w:lvl>
  </w:abstractNum>
  <w:abstractNum w15:restartNumberingAfterBreak="0" w:abstractNumId="8">
    <w:nsid w:val="FFFFFF88"/>
    <w:multiLevelType w:val="singleLevel"/>
    <w:tmpl w:val="8C32E906"/>
    <w:lvl w:ilvl="0">
      <w:start w:val="1"/>
      <w:numFmt w:val="decimal"/>
      <w:lvlText w:val="%1."/>
      <w:lvlJc w:val="left"/>
      <w:pPr>
        <w:tabs>
          <w:tab w:pos="360" w:val="num"/>
        </w:tabs>
        <w:ind w:hanging="360" w:left="360"/>
      </w:pPr>
    </w:lvl>
  </w:abstractNum>
  <w:abstractNum w15:restartNumberingAfterBreak="0" w:abstractNumId="9">
    <w:nsid w:val="FFFFFF89"/>
    <w:multiLevelType w:val="singleLevel"/>
    <w:tmpl w:val="927ACD5E"/>
    <w:lvl w:ilvl="0">
      <w:start w:val="1"/>
      <w:numFmt w:val="bullet"/>
      <w:lvlText w:val=""/>
      <w:lvlJc w:val="left"/>
      <w:pPr>
        <w:tabs>
          <w:tab w:pos="360" w:val="num"/>
        </w:tabs>
        <w:ind w:hanging="360" w:left="360"/>
      </w:pPr>
      <w:rPr>
        <w:rFonts w:ascii="Symbol" w:hAnsi="Symbol" w:hint="default"/>
      </w:rPr>
    </w:lvl>
  </w:abstractNum>
  <w:abstractNum w15:restartNumberingAfterBreak="0" w:abstractNumId="10">
    <w:nsid w:val="170CD2DE"/>
    <w:multiLevelType w:val="multilevel"/>
    <w:tmpl w:val="60E481F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16cid:durableId="1124693139" w:numId="1">
    <w:abstractNumId w:val="10"/>
  </w:num>
  <w:num w16cid:durableId="1210262218" w:numId="2">
    <w:abstractNumId w:val="9"/>
  </w:num>
  <w:num w16cid:durableId="1124689705" w:numId="3">
    <w:abstractNumId w:val="8"/>
  </w:num>
  <w:num w16cid:durableId="731544624" w:numId="4">
    <w:abstractNumId w:val="7"/>
  </w:num>
  <w:num w16cid:durableId="1488861656" w:numId="5">
    <w:abstractNumId w:val="6"/>
  </w:num>
  <w:num w16cid:durableId="477959411" w:numId="6">
    <w:abstractNumId w:val="5"/>
  </w:num>
  <w:num w16cid:durableId="1839954500" w:numId="7">
    <w:abstractNumId w:val="4"/>
  </w:num>
  <w:num w16cid:durableId="1867252605" w:numId="8">
    <w:abstractNumId w:val="3"/>
  </w:num>
  <w:num w16cid:durableId="321127133" w:numId="9">
    <w:abstractNumId w:val="2"/>
  </w:num>
  <w:num w16cid:durableId="1366759467" w:numId="10">
    <w:abstractNumId w:val="1"/>
  </w:num>
  <w:num w16cid:durableId="1472140782" w:numId="11">
    <w:abstractNumId w:val="0"/>
  </w:num>
  <w:num w16cid:durableId="67659437" w:numId="12">
    <w:abstractNumId w:val="8"/>
  </w:num>
  <w:num w16cid:durableId="1389105613" w:numId="13">
    <w:abstractNumId w:val="3"/>
  </w:num>
  <w:num w16cid:durableId="658114841" w:numId="14">
    <w:abstractNumId w:val="2"/>
  </w:num>
  <w:num w16cid:durableId="166673275" w:numId="15">
    <w:abstractNumId w:val="1"/>
  </w:num>
  <w:num w16cid:durableId="758989341" w:numId="16">
    <w:abstractNumId w:val="0"/>
  </w:num>
  <w:num w16cid:durableId="1604849100" w:numId="17">
    <w:abstractNumId w:val="8"/>
  </w:num>
  <w:num w16cid:durableId="1872376338" w:numId="18">
    <w:abstractNumId w:val="3"/>
  </w:num>
  <w:num w16cid:durableId="453255074" w:numId="19">
    <w:abstractNumId w:val="2"/>
  </w:num>
  <w:num w16cid:durableId="1519193340" w:numId="20">
    <w:abstractNumId w:val="1"/>
  </w:num>
  <w:num w16cid:durableId="64183687" w:numId="21">
    <w:abstractNumId w:val="0"/>
  </w:num>
  <w:num w16cid:durableId="1881046726" w:numId="22">
    <w:abstractNumId w:val="8"/>
  </w:num>
  <w:num w16cid:durableId="293291141" w:numId="23">
    <w:abstractNumId w:val="3"/>
  </w:num>
  <w:num w16cid:durableId="226040243" w:numId="24">
    <w:abstractNumId w:val="2"/>
  </w:num>
  <w:num w16cid:durableId="350768483" w:numId="25">
    <w:abstractNumId w:val="1"/>
  </w:num>
  <w:num w16cid:durableId="1284187935" w:numId="26">
    <w:abstractNumId w:val="0"/>
  </w:num>
  <w:num w16cid:durableId="567613641" w:numId="27">
    <w:abstractNumId w:val="8"/>
  </w:num>
  <w:num w16cid:durableId="1992830610" w:numId="28">
    <w:abstractNumId w:val="3"/>
  </w:num>
  <w:num w16cid:durableId="1277299286" w:numId="29">
    <w:abstractNumId w:val="2"/>
  </w:num>
  <w:num w16cid:durableId="1384132582" w:numId="30">
    <w:abstractNumId w:val="1"/>
  </w:num>
  <w:num w16cid:durableId="242884524" w:numId="31">
    <w:abstractNumId w:val="0"/>
  </w:num>
  <w:num w16cid:durableId="237254149" w:numId="32">
    <w:abstractNumId w:val="8"/>
  </w:num>
  <w:num w16cid:durableId="1249122975" w:numId="33">
    <w:abstractNumId w:val="3"/>
  </w:num>
  <w:num w16cid:durableId="561871531" w:numId="34">
    <w:abstractNumId w:val="2"/>
  </w:num>
  <w:num w16cid:durableId="601885692" w:numId="35">
    <w:abstractNumId w:val="1"/>
  </w:num>
  <w:num w16cid:durableId="721565719" w:numId="36">
    <w:abstractNumId w:val="0"/>
  </w:num>
  <w:num w16cid:durableId="561983021" w:numId="37">
    <w:abstractNumId w:val="8"/>
  </w:num>
  <w:num w16cid:durableId="382675534" w:numId="38">
    <w:abstractNumId w:val="3"/>
  </w:num>
  <w:num w16cid:durableId="1214853816" w:numId="39">
    <w:abstractNumId w:val="2"/>
  </w:num>
  <w:num w16cid:durableId="1796213138" w:numId="40">
    <w:abstractNumId w:val="1"/>
  </w:num>
  <w:num w16cid:durableId="397673562" w:numId="41">
    <w:abstractNumId w:val="0"/>
  </w:num>
  <w:num w16cid:durableId="1903372981" w:numId="42">
    <w:abstractNumId w:val="8"/>
  </w:num>
  <w:num w16cid:durableId="1587641893" w:numId="43">
    <w:abstractNumId w:val="3"/>
  </w:num>
  <w:num w16cid:durableId="985553758" w:numId="44">
    <w:abstractNumId w:val="2"/>
  </w:num>
  <w:num w16cid:durableId="2129279502" w:numId="45">
    <w:abstractNumId w:val="1"/>
  </w:num>
  <w:num w16cid:durableId="689642307" w:numId="46">
    <w:abstractNumId w:val="0"/>
  </w:num>
  <w:num w16cid:durableId="283316381" w:numId="47">
    <w:abstractNumId w:val="8"/>
  </w:num>
  <w:num w16cid:durableId="667514414" w:numId="48">
    <w:abstractNumId w:val="3"/>
  </w:num>
  <w:num w16cid:durableId="999625841" w:numId="49">
    <w:abstractNumId w:val="2"/>
  </w:num>
  <w:num w16cid:durableId="631595333" w:numId="50">
    <w:abstractNumId w:val="1"/>
  </w:num>
  <w:num w16cid:durableId="409087350" w:numId="51">
    <w:abstractNumId w:val="0"/>
  </w:num>
  <w:num w16cid:durableId="1417166918" w:numId="52">
    <w:abstractNumId w:val="8"/>
  </w:num>
  <w:num w16cid:durableId="1397167355" w:numId="53">
    <w:abstractNumId w:val="3"/>
  </w:num>
  <w:num w16cid:durableId="359428694" w:numId="54">
    <w:abstractNumId w:val="2"/>
  </w:num>
  <w:num w16cid:durableId="1877965538" w:numId="55">
    <w:abstractNumId w:val="1"/>
  </w:num>
  <w:num w16cid:durableId="1690907755" w:numId="56">
    <w:abstractNumId w:val="0"/>
  </w:num>
  <w:num w16cid:durableId="1847744294" w:numId="57">
    <w:abstractNumId w:val="8"/>
  </w:num>
  <w:num w16cid:durableId="625551729" w:numId="58">
    <w:abstractNumId w:val="3"/>
  </w:num>
  <w:num w16cid:durableId="80106395" w:numId="59">
    <w:abstractNumId w:val="2"/>
  </w:num>
  <w:num w16cid:durableId="680817095" w:numId="60">
    <w:abstractNumId w:val="1"/>
  </w:num>
  <w:num w16cid:durableId="1696883699" w:numId="61">
    <w:abstractNumId w:val="0"/>
  </w:num>
  <w:num w16cid:durableId="764963967" w:numId="62">
    <w:abstractNumId w:val="8"/>
  </w:num>
  <w:num w16cid:durableId="1771704117" w:numId="63">
    <w:abstractNumId w:val="3"/>
  </w:num>
  <w:num w16cid:durableId="1330250043" w:numId="64">
    <w:abstractNumId w:val="2"/>
  </w:num>
  <w:num w16cid:durableId="82340849" w:numId="65">
    <w:abstractNumId w:val="1"/>
  </w:num>
  <w:num w16cid:durableId="1166436873" w:numId="66">
    <w:abstractNumId w:val="0"/>
  </w:num>
  <w:num w16cid:durableId="1345087903" w:numId="67">
    <w:abstractNumId w:val="8"/>
  </w:num>
  <w:num w16cid:durableId="1290475426" w:numId="68">
    <w:abstractNumId w:val="3"/>
  </w:num>
  <w:num w16cid:durableId="121963508" w:numId="69">
    <w:abstractNumId w:val="2"/>
  </w:num>
  <w:num w16cid:durableId="1631592308" w:numId="70">
    <w:abstractNumId w:val="1"/>
  </w:num>
  <w:num w16cid:durableId="1701979659" w:numId="71">
    <w:abstractNumId w:val="0"/>
  </w:num>
  <w:num w16cid:durableId="688723813" w:numId="72">
    <w:abstractNumId w:val="8"/>
  </w:num>
  <w:num w16cid:durableId="513108775" w:numId="73">
    <w:abstractNumId w:val="3"/>
  </w:num>
  <w:num w16cid:durableId="504173735" w:numId="74">
    <w:abstractNumId w:val="2"/>
  </w:num>
  <w:num w16cid:durableId="25448909" w:numId="75">
    <w:abstractNumId w:val="1"/>
  </w:num>
  <w:num w16cid:durableId="601105827" w:numId="76">
    <w:abstractNumId w:val="0"/>
  </w:num>
  <w:num w16cid:durableId="58747902" w:numId="77">
    <w:abstractNumId w:val="8"/>
  </w:num>
  <w:num w16cid:durableId="1772125209" w:numId="78">
    <w:abstractNumId w:val="3"/>
  </w:num>
  <w:num w16cid:durableId="1947079673" w:numId="79">
    <w:abstractNumId w:val="2"/>
  </w:num>
  <w:num w16cid:durableId="124203876" w:numId="80">
    <w:abstractNumId w:val="1"/>
  </w:num>
  <w:num w16cid:durableId="535655405" w:numId="81">
    <w:abstractNumId w:val="0"/>
  </w:num>
  <w:num w16cid:durableId="1783576686" w:numId="82">
    <w:abstractNumId w:val="8"/>
  </w:num>
  <w:num w16cid:durableId="248467469" w:numId="83">
    <w:abstractNumId w:val="3"/>
  </w:num>
  <w:num w16cid:durableId="2092382446" w:numId="84">
    <w:abstractNumId w:val="2"/>
  </w:num>
  <w:num w16cid:durableId="1056666988" w:numId="85">
    <w:abstractNumId w:val="1"/>
  </w:num>
  <w:num w16cid:durableId="225652704" w:numId="86">
    <w:abstractNumId w:val="0"/>
  </w:num>
  <w:num w16cid:durableId="2050718763" w:numId="87">
    <w:abstractNumId w:val="8"/>
  </w:num>
  <w:num w16cid:durableId="143275641" w:numId="88">
    <w:abstractNumId w:val="3"/>
  </w:num>
  <w:num w16cid:durableId="725178082" w:numId="89">
    <w:abstractNumId w:val="2"/>
  </w:num>
  <w:num w16cid:durableId="362362474" w:numId="90">
    <w:abstractNumId w:val="1"/>
  </w:num>
  <w:num w16cid:durableId="1589969554" w:numId="91">
    <w:abstractNumId w:val="0"/>
  </w:num>
  <w:num w16cid:durableId="1769932609" w:numId="92">
    <w:abstractNumId w:val="8"/>
  </w:num>
  <w:num w16cid:durableId="309555984" w:numId="93">
    <w:abstractNumId w:val="3"/>
  </w:num>
  <w:num w16cid:durableId="1299144529" w:numId="94">
    <w:abstractNumId w:val="2"/>
  </w:num>
  <w:num w16cid:durableId="1175539660" w:numId="95">
    <w:abstractNumId w:val="1"/>
  </w:num>
  <w:num w16cid:durableId="389964036" w:numId="96">
    <w:abstractNumId w:val="0"/>
  </w:num>
  <w:num w16cid:durableId="208735691" w:numId="97">
    <w:abstractNumId w:val="8"/>
  </w:num>
  <w:num w16cid:durableId="1525972922" w:numId="98">
    <w:abstractNumId w:val="3"/>
  </w:num>
  <w:num w16cid:durableId="814568665" w:numId="99">
    <w:abstractNumId w:val="2"/>
  </w:num>
  <w:num w16cid:durableId="774911176" w:numId="100">
    <w:abstractNumId w:val="1"/>
  </w:num>
  <w:num w16cid:durableId="1796412552" w:numId="101">
    <w:abstractNumId w:val="0"/>
  </w:num>
  <w:num w16cid:durableId="889847875" w:numId="102">
    <w:abstractNumId w:val="8"/>
  </w:num>
  <w:num w16cid:durableId="114912344" w:numId="103">
    <w:abstractNumId w:val="3"/>
  </w:num>
  <w:num w16cid:durableId="1480876344" w:numId="104">
    <w:abstractNumId w:val="2"/>
  </w:num>
  <w:num w16cid:durableId="583076578" w:numId="105">
    <w:abstractNumId w:val="1"/>
  </w:num>
  <w:num w16cid:durableId="1874876203" w:numId="106">
    <w:abstractNumId w:val="0"/>
  </w:num>
  <w:num w16cid:durableId="1992560244" w:numId="107">
    <w:abstractNumId w:val="8"/>
  </w:num>
  <w:num w16cid:durableId="598025973" w:numId="108">
    <w:abstractNumId w:val="3"/>
  </w:num>
  <w:num w16cid:durableId="405107081" w:numId="109">
    <w:abstractNumId w:val="2"/>
  </w:num>
  <w:num w16cid:durableId="2025549233" w:numId="110">
    <w:abstractNumId w:val="1"/>
  </w:num>
  <w:num w16cid:durableId="1669216078" w:numId="111">
    <w:abstractNumId w:val="0"/>
  </w:num>
  <w:num w16cid:durableId="836770199" w:numId="112">
    <w:abstractNumId w:val="8"/>
  </w:num>
  <w:num w16cid:durableId="1622150131" w:numId="113">
    <w:abstractNumId w:val="3"/>
  </w:num>
  <w:num w16cid:durableId="1988823300" w:numId="114">
    <w:abstractNumId w:val="2"/>
  </w:num>
  <w:num w16cid:durableId="1082601273" w:numId="115">
    <w:abstractNumId w:val="1"/>
  </w:num>
  <w:num w16cid:durableId="1370178083" w:numId="116">
    <w:abstractNumId w:val="0"/>
  </w:num>
  <w:num w16cid:durableId="580679335" w:numId="117">
    <w:abstractNumId w:val="8"/>
  </w:num>
  <w:num w16cid:durableId="973103423" w:numId="118">
    <w:abstractNumId w:val="3"/>
  </w:num>
  <w:num w16cid:durableId="881861565" w:numId="119">
    <w:abstractNumId w:val="2"/>
  </w:num>
  <w:num w16cid:durableId="750736368" w:numId="120">
    <w:abstractNumId w:val="1"/>
  </w:num>
  <w:num w16cid:durableId="1373387839" w:numId="121">
    <w:abstractNumId w:val="0"/>
  </w:num>
  <w:num w16cid:durableId="907685908" w:numId="122">
    <w:abstractNumId w:val="8"/>
  </w:num>
  <w:num w16cid:durableId="620501486" w:numId="123">
    <w:abstractNumId w:val="3"/>
  </w:num>
  <w:num w16cid:durableId="446043719" w:numId="124">
    <w:abstractNumId w:val="2"/>
  </w:num>
  <w:num w16cid:durableId="1033771088" w:numId="125">
    <w:abstractNumId w:val="1"/>
  </w:num>
  <w:num w16cid:durableId="1235050304" w:numId="126">
    <w:abstractNumId w:val="0"/>
  </w:num>
  <w:num w16cid:durableId="199902741" w:numId="127">
    <w:abstractNumId w:val="8"/>
  </w:num>
  <w:num w16cid:durableId="1046371651" w:numId="128">
    <w:abstractNumId w:val="3"/>
  </w:num>
  <w:num w16cid:durableId="1445611969" w:numId="129">
    <w:abstractNumId w:val="2"/>
  </w:num>
  <w:num w16cid:durableId="1606494288" w:numId="130">
    <w:abstractNumId w:val="1"/>
  </w:num>
  <w:num w16cid:durableId="1125854417" w:numId="131">
    <w:abstractNumId w:val="0"/>
  </w:num>
  <w:num w16cid:durableId="1355302728" w:numId="132">
    <w:abstractNumId w:val="8"/>
  </w:num>
  <w:num w16cid:durableId="950279301" w:numId="133">
    <w:abstractNumId w:val="3"/>
  </w:num>
  <w:num w16cid:durableId="2051565447" w:numId="134">
    <w:abstractNumId w:val="2"/>
  </w:num>
  <w:num w16cid:durableId="696543370" w:numId="135">
    <w:abstractNumId w:val="1"/>
  </w:num>
  <w:num w16cid:durableId="1353845816" w:numId="136">
    <w:abstractNumId w:val="0"/>
  </w:num>
  <w:num w16cid:durableId="1129593015" w:numId="137">
    <w:abstractNumId w:val="8"/>
  </w:num>
  <w:num w16cid:durableId="1455372480" w:numId="138">
    <w:abstractNumId w:val="3"/>
  </w:num>
  <w:num w16cid:durableId="238489024" w:numId="139">
    <w:abstractNumId w:val="2"/>
  </w:num>
  <w:num w16cid:durableId="262349791" w:numId="140">
    <w:abstractNumId w:val="1"/>
  </w:num>
  <w:num w16cid:durableId="1150752914" w:numId="141">
    <w:abstractNumId w:val="0"/>
  </w:num>
  <w:num w16cid:durableId="1765178239" w:numId="142">
    <w:abstractNumId w:val="8"/>
  </w:num>
  <w:num w16cid:durableId="1032458695" w:numId="143">
    <w:abstractNumId w:val="3"/>
  </w:num>
  <w:num w16cid:durableId="1128166976" w:numId="144">
    <w:abstractNumId w:val="2"/>
  </w:num>
  <w:num w16cid:durableId="1894148799" w:numId="145">
    <w:abstractNumId w:val="1"/>
  </w:num>
  <w:num w16cid:durableId="1224215055" w:numId="146">
    <w:abstractNumId w:val="0"/>
  </w:num>
  <w:num w16cid:durableId="884097991" w:numId="147">
    <w:abstractNumId w:val="8"/>
  </w:num>
  <w:num w16cid:durableId="1658193880" w:numId="148">
    <w:abstractNumId w:val="3"/>
  </w:num>
  <w:num w16cid:durableId="264384023" w:numId="149">
    <w:abstractNumId w:val="2"/>
  </w:num>
  <w:num w16cid:durableId="2030640676" w:numId="150">
    <w:abstractNumId w:val="1"/>
  </w:num>
  <w:num w16cid:durableId="1764300915" w:numId="151">
    <w:abstractNumId w:val="0"/>
  </w:num>
  <w:num w16cid:durableId="274868847" w:numId="152">
    <w:abstractNumId w:val="8"/>
  </w:num>
  <w:num w16cid:durableId="1963725191" w:numId="153">
    <w:abstractNumId w:val="3"/>
  </w:num>
  <w:num w16cid:durableId="47382796" w:numId="154">
    <w:abstractNumId w:val="2"/>
  </w:num>
  <w:num w16cid:durableId="834803624" w:numId="155">
    <w:abstractNumId w:val="1"/>
  </w:num>
  <w:num w16cid:durableId="1907836433" w:numId="156">
    <w:abstractNumId w:val="0"/>
  </w:num>
  <w:num w16cid:durableId="335694466" w:numId="157">
    <w:abstractNumId w:val="8"/>
  </w:num>
  <w:num w16cid:durableId="1413353708" w:numId="158">
    <w:abstractNumId w:val="3"/>
  </w:num>
  <w:num w16cid:durableId="2017221835" w:numId="159">
    <w:abstractNumId w:val="2"/>
  </w:num>
  <w:num w16cid:durableId="2093504836" w:numId="160">
    <w:abstractNumId w:val="1"/>
  </w:num>
  <w:num w16cid:durableId="20983660" w:numId="161">
    <w:abstractNumId w:val="0"/>
  </w:num>
  <w:num w16cid:durableId="2130083049" w:numId="162">
    <w:abstractNumId w:val="8"/>
  </w:num>
  <w:num w16cid:durableId="2117209151" w:numId="163">
    <w:abstractNumId w:val="3"/>
  </w:num>
  <w:num w16cid:durableId="2133357024" w:numId="164">
    <w:abstractNumId w:val="2"/>
  </w:num>
  <w:num w16cid:durableId="859854129" w:numId="165">
    <w:abstractNumId w:val="1"/>
  </w:num>
  <w:num w16cid:durableId="2034574430" w:numId="166">
    <w:abstractNumId w:val="0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1"/>
  </w:num>
  <w:num w:numId="101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allStyles="0" w:alternateStyleNames="1" w:clearFormatting="0" w:customStyles="0" w:directFormattingOnNumbering="1" w:directFormattingOnParagraphs="1" w:directFormattingOnRuns="1" w:directFormattingOnTables="0" w:headingStyles="1" w:latentStyles="1" w:numberingStyles="0" w:stylesInUse="0" w:tableStyles="0" w:top3HeadingStyles="0" w:val="8724" w:visibleStyles="0"/>
  <w:stylePaneSortMethod w:val="0002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41EE7"/>
    <w:rsid w:val="000436E4"/>
    <w:rsid w:val="000A6B7E"/>
    <w:rsid w:val="002069BA"/>
    <w:rsid w:val="002811B4"/>
    <w:rsid w:val="004505D5"/>
    <w:rsid w:val="005926EF"/>
    <w:rsid w:val="005A056E"/>
    <w:rsid w:val="0061129A"/>
    <w:rsid w:val="00654138"/>
    <w:rsid w:val="007803D7"/>
    <w:rsid w:val="008245C2"/>
    <w:rsid w:val="008E4D7E"/>
    <w:rsid w:val="009257D8"/>
    <w:rsid w:val="009E0377"/>
    <w:rsid w:val="00BD4EC2"/>
    <w:rsid w:val="00BF5158"/>
    <w:rsid w:val="00C41EE7"/>
    <w:rsid w:val="00C46DD1"/>
    <w:rsid w:val="00C666BF"/>
    <w:rsid w:val="00D80582"/>
    <w:rsid w:val="00E054EE"/>
    <w:rsid w:val="00E05716"/>
    <w:rsid w:val="00EB5976"/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6" w:defLockedState="0" w:defQFormat="0" w:defSemiHidden="0" w:defUIPriority="0" w:defUnhideWhenUsed="0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default="1" w:styleId="Normal" w:type="paragraph">
    <w:name w:val="Normal"/>
    <w:qFormat/>
    <w:rsid w:val="005926EF"/>
  </w:style>
  <w:style w:styleId="Heading1" w:type="paragraph">
    <w:name w:val="heading 1"/>
    <w:basedOn w:val="Normal"/>
    <w:next w:val="BodyText"/>
    <w:link w:val="Heading1Char"/>
    <w:uiPriority w:val="9"/>
    <w:qFormat/>
    <w:rsid w:val="0061129A"/>
    <w:pPr>
      <w:keepNext/>
      <w:keepLines/>
      <w:spacing w:after="80" w:before="360"/>
      <w:outlineLvl w:val="0"/>
    </w:pPr>
    <w:rPr>
      <w:rFonts w:ascii="Times New Roman" w:cstheme="majorBidi" w:eastAsiaTheme="majorEastAsia" w:hAnsi="Times New Roman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61129A"/>
    <w:pPr>
      <w:keepNext/>
      <w:keepLines/>
      <w:spacing w:after="80" w:before="160"/>
      <w:outlineLvl w:val="2"/>
    </w:pPr>
    <w:rPr>
      <w:rFonts w:ascii="Times New Roman" w:cstheme="majorBidi" w:eastAsiaTheme="majorEastAsia" w:hAnsi="Times New Roman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61129A"/>
    <w:pPr>
      <w:keepNext/>
      <w:keepLines/>
      <w:spacing w:after="40" w:before="80"/>
      <w:outlineLvl w:val="3"/>
    </w:pPr>
    <w:rPr>
      <w:rFonts w:ascii="Times New Roman" w:cstheme="majorBidi" w:eastAsiaTheme="majorEastAsia" w:hAnsi="Times New Roman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61129A"/>
    <w:pPr>
      <w:keepNext/>
      <w:keepLines/>
      <w:spacing w:after="40" w:before="80"/>
      <w:outlineLvl w:val="4"/>
    </w:pPr>
    <w:rPr>
      <w:rFonts w:ascii="Times New Roman" w:cstheme="majorBidi" w:eastAsiaTheme="majorEastAsia" w:hAnsi="Times New Roman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61129A"/>
    <w:pPr>
      <w:keepNext/>
      <w:keepLines/>
      <w:spacing w:after="0" w:before="40"/>
      <w:outlineLvl w:val="5"/>
    </w:pPr>
    <w:rPr>
      <w:rFonts w:ascii="Times New Roman" w:cstheme="majorBidi" w:eastAsiaTheme="majorEastAsia" w:hAnsi="Times New Roman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61129A"/>
    <w:pPr>
      <w:keepNext/>
      <w:keepLines/>
      <w:spacing w:after="0" w:before="40"/>
      <w:outlineLvl w:val="6"/>
    </w:pPr>
    <w:rPr>
      <w:rFonts w:ascii="Times New Roman" w:cstheme="majorBidi" w:eastAsiaTheme="majorEastAsia" w:hAnsi="Times New Roman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61129A"/>
    <w:pPr>
      <w:keepNext/>
      <w:keepLines/>
      <w:spacing w:after="0"/>
      <w:outlineLvl w:val="7"/>
    </w:pPr>
    <w:rPr>
      <w:rFonts w:ascii="Times New Roman" w:cstheme="majorBidi" w:eastAsiaTheme="majorEastAsia" w:hAnsi="Times New Roman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61129A"/>
    <w:pPr>
      <w:keepNext/>
      <w:keepLines/>
      <w:spacing w:after="0"/>
      <w:outlineLvl w:val="8"/>
    </w:pPr>
    <w:rPr>
      <w:rFonts w:ascii="Times New Roman" w:cstheme="majorBidi" w:eastAsiaTheme="majorEastAsia" w:hAnsi="Times New Roman"/>
      <w:color w:themeColor="text1" w:themeTint="D8" w:val="272727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styleId="BodyText" w:type="paragraph">
    <w:name w:val="Body Text"/>
    <w:basedOn w:val="Normal"/>
    <w:link w:val="BodyTextChar"/>
    <w:qFormat/>
    <w:rsid w:val="00D80582"/>
    <w:pPr>
      <w:spacing w:after="180" w:before="180"/>
    </w:pPr>
    <w:rPr>
      <w:rFonts w:ascii="Times New Roman" w:hAnsi="Times New Roman"/>
    </w:r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E054EE"/>
    <w:pPr>
      <w:spacing w:after="80"/>
      <w:contextualSpacing/>
      <w:jc w:val="center"/>
    </w:pPr>
    <w:rPr>
      <w:rFonts w:ascii="Times New Roman" w:cstheme="majorBidi" w:eastAsiaTheme="majorEastAsia" w:hAnsi="Times New Roman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E054EE"/>
    <w:rPr>
      <w:rFonts w:ascii="Times New Roman" w:cstheme="majorBidi" w:eastAsiaTheme="majorEastAsia" w:hAnsi="Times New Roman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autoRedefine/>
    <w:qFormat/>
    <w:rsid w:val="00E05716"/>
    <w:pPr>
      <w:keepNext/>
      <w:keepLines/>
      <w:jc w:val="center"/>
    </w:pPr>
    <w:rPr>
      <w:rFonts w:ascii="Times New Roman" w:hAnsi="Times New Roman"/>
    </w:rPr>
  </w:style>
  <w:style w:styleId="Date" w:type="paragraph">
    <w:name w:val="Date"/>
    <w:next w:val="BodyText"/>
    <w:qFormat/>
    <w:rsid w:val="0061129A"/>
    <w:pPr>
      <w:keepNext/>
      <w:keepLines/>
      <w:jc w:val="center"/>
    </w:pPr>
    <w:rPr>
      <w:rFonts w:ascii="Times New Roman" w:hAnsi="Times New Roman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rsid w:val="0061129A"/>
    <w:pPr>
      <w:keepNext/>
      <w:keepLines/>
      <w:spacing w:after="300" w:before="100"/>
    </w:pPr>
    <w:rPr>
      <w:rFonts w:ascii="Times New Roman" w:hAnsi="Times New Roman"/>
      <w:sz w:val="20"/>
      <w:szCs w:val="20"/>
    </w:rPr>
  </w:style>
  <w:style w:styleId="Bibliography" w:type="paragraph">
    <w:name w:val="Bibliography"/>
    <w:basedOn w:val="Normal"/>
    <w:qFormat/>
  </w:style>
  <w:style w:customStyle="1" w:styleId="Heading1Char" w:type="character">
    <w:name w:val="Heading 1 Char"/>
    <w:basedOn w:val="DefaultParagraphFont"/>
    <w:link w:val="Heading1"/>
    <w:uiPriority w:val="9"/>
    <w:rsid w:val="0061129A"/>
    <w:rPr>
      <w:rFonts w:ascii="Times New Roman" w:cstheme="majorBidi" w:eastAsiaTheme="majorEastAsia" w:hAnsi="Times New Roman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61129A"/>
    <w:rPr>
      <w:rFonts w:ascii="Times New Roman" w:cstheme="majorBidi" w:eastAsiaTheme="majorEastAsia" w:hAnsi="Times New Roman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61129A"/>
    <w:rPr>
      <w:rFonts w:ascii="Times New Roman" w:cstheme="majorBidi" w:eastAsiaTheme="majorEastAsia" w:hAnsi="Times New Roman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61129A"/>
    <w:rPr>
      <w:rFonts w:ascii="Times New Roman" w:cstheme="majorBidi" w:eastAsiaTheme="majorEastAsia" w:hAnsi="Times New Roman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61129A"/>
    <w:rPr>
      <w:rFonts w:ascii="Times New Roman" w:cstheme="majorBidi" w:eastAsiaTheme="majorEastAsia" w:hAnsi="Times New Roman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61129A"/>
    <w:rPr>
      <w:rFonts w:ascii="Times New Roman" w:cstheme="majorBidi" w:eastAsiaTheme="majorEastAsia" w:hAnsi="Times New Roman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61129A"/>
    <w:rPr>
      <w:rFonts w:ascii="Times New Roman" w:cstheme="majorBidi" w:eastAsiaTheme="majorEastAsia" w:hAnsi="Times New Roman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61129A"/>
    <w:rPr>
      <w:rFonts w:ascii="Times New Roman" w:cstheme="majorBidi" w:eastAsiaTheme="majorEastAsia" w:hAnsi="Times New Roman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left="480" w:right="480"/>
    </w:pPr>
  </w:style>
  <w:style w:styleId="FootnoteText" w:type="paragraph">
    <w:name w:val="footnote text"/>
    <w:basedOn w:val="Normal"/>
    <w:uiPriority w:val="9"/>
    <w:unhideWhenUsed/>
    <w:qFormat/>
    <w:rsid w:val="002069BA"/>
    <w:rPr>
      <w:rFonts w:ascii="Times New Roman" w:hAnsi="Times New Roman"/>
    </w:rPr>
  </w:style>
  <w:style w:customStyle="1"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rsid w:val="00C46DD1"/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rsid w:val="002069BA"/>
    <w:pPr>
      <w:keepNext/>
      <w:keepLines/>
      <w:spacing w:after="0"/>
    </w:pPr>
    <w:rPr>
      <w:rFonts w:ascii="Times New Roman" w:hAnsi="Times New Roman"/>
      <w:b/>
    </w:rPr>
  </w:style>
  <w:style w:customStyle="1" w:styleId="Definition" w:type="paragraph">
    <w:name w:val="Definition"/>
    <w:basedOn w:val="Normal"/>
    <w:rsid w:val="002069BA"/>
    <w:rPr>
      <w:rFonts w:ascii="Times New Roman" w:hAnsi="Times New Roman"/>
    </w:rPr>
  </w:style>
  <w:style w:styleId="Caption" w:type="paragraph">
    <w:name w:val="caption"/>
    <w:basedOn w:val="Normal"/>
    <w:link w:val="CaptionChar"/>
    <w:pPr>
      <w:spacing w:after="12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  <w:rsid w:val="002069BA"/>
    <w:rPr>
      <w:rFonts w:ascii="Times New Roman" w:hAnsi="Times New Roman"/>
    </w:rPr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CaptionChar" w:type="character">
    <w:name w:val="Caption Char"/>
    <w:basedOn w:val="DefaultParagraphFont"/>
    <w:link w:val="Caption"/>
  </w:style>
  <w:style w:customStyle="1" w:styleId="VerbatimChar" w:type="character">
    <w:name w:val="Verbatim Char"/>
    <w:basedOn w:val="CaptionChar"/>
    <w:rPr>
      <w:rFonts w:ascii="Consolas" w:hAnsi="Consolas"/>
      <w:sz w:val="22"/>
    </w:rPr>
  </w:style>
  <w:style w:customStyle="1" w:styleId="SectionNumber" w:type="character">
    <w:name w:val="Section Number"/>
    <w:basedOn w:val="CaptionChar"/>
  </w:style>
  <w:style w:styleId="FootnoteReference" w:type="character">
    <w:name w:val="footnote reference"/>
    <w:basedOn w:val="CaptionChar"/>
    <w:rPr>
      <w:vertAlign w:val="superscript"/>
    </w:rPr>
  </w:style>
  <w:style w:styleId="Hyperlink" w:type="character">
    <w:name w:val="Hyperlink"/>
    <w:basedOn w:val="CaptionChar"/>
    <w:rPr>
      <w:color w:themeColor="accent1" w:val="156082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customStyle="1" w:styleId="BodyTextChar" w:type="character">
    <w:name w:val="Body Text Char"/>
    <w:basedOn w:val="DefaultParagraphFont"/>
    <w:link w:val="BodyText"/>
    <w:rsid w:val="005926EF"/>
    <w:rPr>
      <w:rFonts w:ascii="Times New Roman" w:hAnsi="Times New Roman"/>
    </w:rPr>
  </w:style>
  <w:style w:customStyle="1" w:styleId="StyleHeading2TimesNewRoman" w:type="paragraph">
    <w:name w:val="Style Heading 2 + Times New Roman"/>
    <w:basedOn w:val="Heading2"/>
    <w:rsid w:val="0061129A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1970-01-01T00:00:00Z</dcterms:created>
  <dcterms:modified xsi:type="dcterms:W3CDTF">1970-01-01T00:00:00Z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