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FirstParagraph"/>
      </w:pPr>
      <w:r>
        <w:t xml:space="preserve">Here's a full doctoral-style research paper draft on the thesis:</w:t>
      </w:r>
    </w:p>
    <w:p>
      <w:r>
        <w:pict>
          <v:rect style="width:0;height:1.5pt" o:hralign="center" o:hrstd="t" o:hr="t"/>
        </w:pict>
      </w:r>
    </w:p>
    <w:p>
      <w:pPr>
        <w:pStyle w:val="FirstParagraph"/>
      </w:pPr>
      <w:r>
        <w:rPr>
          <w:b/>
          <w:bCs/>
        </w:rPr>
        <w:t xml:space="preserve">Title:</w:t>
      </w:r>
      <w:r>
        <w:t xml:space="preserve"> </w:t>
      </w:r>
      <w:r>
        <w:rPr>
          <w:b/>
          <w:bCs/>
        </w:rPr>
        <w:t xml:space="preserve">Preventing Bipolar Disorder in Teenagers through Brahmacharya: A Mathematical and Psychological Analysis Using Calculus</w:t>
      </w:r>
    </w:p>
    <w:p>
      <w:r>
        <w:pict>
          <v:rect style="width:0;height:1.5pt" o:hralign="center" o:hrstd="t" o:hr="t"/>
        </w:pict>
      </w:r>
    </w:p>
    <w:bookmarkStart w:id="20" w:name="abstract"/>
    <w:p>
      <w:pPr>
        <w:pStyle w:val="Heading3"/>
      </w:pPr>
      <w:r>
        <w:rPr>
          <w:b/>
          <w:bCs/>
        </w:rPr>
        <w:t xml:space="preserve">Abstract</w:t>
      </w:r>
    </w:p>
    <w:p>
      <w:pPr>
        <w:pStyle w:val="FirstParagraph"/>
      </w:pPr>
      <w:r>
        <w:t xml:space="preserve">This paper explores the thesis that</w:t>
      </w:r>
      <w:r>
        <w:t xml:space="preserve"> </w:t>
      </w:r>
      <w:r>
        <w:rPr>
          <w:i/>
          <w:iCs/>
        </w:rPr>
        <w:t xml:space="preserve">Bipolar Disorder can be prevented in teenagers through the practice of Brahmacharya (celibate discipline and self-control)</w:t>
      </w:r>
      <w:r>
        <w:t xml:space="preserve">. Drawing on principles from ancient Indian philosophy and modern psychological theory, we establish a mathematical model using differential calculus to evaluate the stability of mood and mental equilibrium in adolescents. The analysis posits that Brahmacharya promotes emotional homeostasis, reduces overstimulation, and regulates dopamine flux—thereby decreasing the probability of manic-depressive oscillations. The calculus-based model maps self-control to mental energy equilibrium, showing how consistent discipline can prevent pathological mood divergence.</w:t>
      </w:r>
    </w:p>
    <w:p>
      <w:r>
        <w:pict>
          <v:rect style="width:0;height:1.5pt" o:hralign="center" o:hrstd="t" o:hr="t"/>
        </w:pict>
      </w:r>
    </w:p>
    <w:bookmarkEnd w:id="20"/>
    <w:bookmarkStart w:id="21" w:name="introduction"/>
    <w:p>
      <w:pPr>
        <w:pStyle w:val="Heading3"/>
      </w:pPr>
      <w:r>
        <w:rPr>
          <w:b/>
          <w:bCs/>
        </w:rPr>
        <w:t xml:space="preserve">1. Introduction</w:t>
      </w:r>
    </w:p>
    <w:p>
      <w:pPr>
        <w:pStyle w:val="FirstParagraph"/>
      </w:pPr>
      <w:r>
        <w:t xml:space="preserve">Bipolar Disorder, characterized by oscillations between mania and depression, has seen a rising incidence in adolescents. Modern treatment is often pharmacological, but preventative approaches remain underexplored. Ancient Indian spiritual discipline,</w:t>
      </w:r>
      <w:r>
        <w:t xml:space="preserve"> </w:t>
      </w:r>
      <w:r>
        <w:rPr>
          <w:b/>
          <w:bCs/>
        </w:rPr>
        <w:t xml:space="preserve">Brahmacharya</w:t>
      </w:r>
      <w:r>
        <w:t xml:space="preserve">, emphasizes mental and physical restraint—particularly around sensual and sexual impulses. We hypothesize that Brahmacharya, as a model of</w:t>
      </w:r>
      <w:r>
        <w:t xml:space="preserve"> </w:t>
      </w:r>
      <w:r>
        <w:rPr>
          <w:b/>
          <w:bCs/>
        </w:rPr>
        <w:t xml:space="preserve">dopaminergic regulation</w:t>
      </w:r>
      <w:r>
        <w:t xml:space="preserve"> </w:t>
      </w:r>
      <w:r>
        <w:t xml:space="preserve">and</w:t>
      </w:r>
      <w:r>
        <w:t xml:space="preserve"> </w:t>
      </w:r>
      <w:r>
        <w:rPr>
          <w:b/>
          <w:bCs/>
        </w:rPr>
        <w:t xml:space="preserve">emotional homeostasis</w:t>
      </w:r>
      <w:r>
        <w:t xml:space="preserve">, can prevent the onset of bipolar symptoms when practiced consistently during adolescence.</w:t>
      </w:r>
    </w:p>
    <w:p>
      <w:r>
        <w:pict>
          <v:rect style="width:0;height:1.5pt" o:hralign="center" o:hrstd="t" o:hr="t"/>
        </w:pict>
      </w:r>
    </w:p>
    <w:bookmarkEnd w:id="21"/>
    <w:bookmarkStart w:id="22" w:name="theoretical-background"/>
    <w:p>
      <w:pPr>
        <w:pStyle w:val="Heading3"/>
      </w:pPr>
      <w:r>
        <w:rPr>
          <w:b/>
          <w:bCs/>
        </w:rPr>
        <w:t xml:space="preserve">2. Theoretical Background</w:t>
      </w:r>
    </w:p>
    <w:p>
      <w:pPr>
        <w:pStyle w:val="Compact"/>
        <w:numPr>
          <w:ilvl w:val="0"/>
          <w:numId w:val="1001"/>
        </w:numPr>
      </w:pPr>
      <w:r>
        <w:rPr>
          <w:b/>
          <w:bCs/>
        </w:rPr>
        <w:t xml:space="preserve">Brahmacharya</w:t>
      </w:r>
      <w:r>
        <w:t xml:space="preserve">: From Sanskrit, means “behavior that leads to Brahman (ultimate truth)”. Practically, it implies self-control, non-indulgence in sensual pleasures, meditation, and directed life-energy (ojas).</w:t>
      </w:r>
    </w:p>
    <w:p>
      <w:pPr>
        <w:pStyle w:val="Compact"/>
        <w:numPr>
          <w:ilvl w:val="0"/>
          <w:numId w:val="1001"/>
        </w:numPr>
      </w:pPr>
      <w:r>
        <w:rPr>
          <w:b/>
          <w:bCs/>
        </w:rPr>
        <w:t xml:space="preserve">Bipolar Disorder</w:t>
      </w:r>
      <w:r>
        <w:t xml:space="preserve">: A disorder marked by mood volatility, excessive dopaminergic and serotonergic cycling, often triggered by overstimulation, poor sleep, stress, and hormonal imbalance.</w:t>
      </w:r>
    </w:p>
    <w:p>
      <w:pPr>
        <w:pStyle w:val="Compact"/>
        <w:numPr>
          <w:ilvl w:val="0"/>
          <w:numId w:val="1001"/>
        </w:numPr>
      </w:pPr>
      <w:r>
        <w:rPr>
          <w:b/>
          <w:bCs/>
        </w:rPr>
        <w:t xml:space="preserve">Mathematical Basis</w:t>
      </w:r>
      <w:r>
        <w:t xml:space="preserve">: Mood states can be modeled as functions of energy (E), stimulation (S), and discipline (D). Calculus allows us to study the rate of change and stability of these mood functions over time.</w:t>
      </w:r>
    </w:p>
    <w:p>
      <w:r>
        <w:pict>
          <v:rect style="width:0;height:1.5pt" o:hralign="center" o:hrstd="t" o:hr="t"/>
        </w:pict>
      </w:r>
    </w:p>
    <w:bookmarkEnd w:id="22"/>
    <w:bookmarkStart w:id="25" w:name="X90be040e20b36774cb541892d2e5d849749f89e"/>
    <w:p>
      <w:pPr>
        <w:pStyle w:val="Heading3"/>
      </w:pPr>
      <w:r>
        <w:rPr>
          <w:b/>
          <w:bCs/>
        </w:rPr>
        <w:t xml:space="preserve">3. Methodology: Mathematical Model Using Calculus</w:t>
      </w:r>
    </w:p>
    <w:p>
      <w:pPr>
        <w:pStyle w:val="FirstParagraph"/>
      </w:pPr>
      <w:r>
        <w:t xml:space="preserve">Let:</w:t>
      </w:r>
    </w:p>
    <w:p>
      <w:pPr>
        <w:pStyle w:val="Compact"/>
        <w:numPr>
          <w:ilvl w:val="0"/>
          <w:numId w:val="1002"/>
        </w:numPr>
      </w:pPr>
      <m:oMath>
        <m:r>
          <m:t>M</m:t>
        </m:r>
        <m:r>
          <m:rPr>
            <m:sty m:val="p"/>
          </m:rPr>
          <m:t>(</m:t>
        </m:r>
        <m:r>
          <m:t>t</m:t>
        </m:r>
        <m:r>
          <m:rPr>
            <m:sty m:val="p"/>
          </m:rPr>
          <m:t>)</m:t>
        </m:r>
      </m:oMath>
      <w:r>
        <w:t xml:space="preserve">: Mood state at time</w:t>
      </w:r>
      <w:r>
        <w:t xml:space="preserve"> </w:t>
      </w:r>
      <m:oMath>
        <m:r>
          <m:t>t</m:t>
        </m:r>
      </m:oMath>
    </w:p>
    <w:p>
      <w:pPr>
        <w:pStyle w:val="Compact"/>
        <w:numPr>
          <w:ilvl w:val="0"/>
          <w:numId w:val="1002"/>
        </w:numPr>
      </w:pPr>
      <m:oMath>
        <m:r>
          <m:t>E</m:t>
        </m:r>
        <m:r>
          <m:rPr>
            <m:sty m:val="p"/>
          </m:rPr>
          <m:t>(</m:t>
        </m:r>
        <m:r>
          <m:t>t</m:t>
        </m:r>
        <m:r>
          <m:rPr>
            <m:sty m:val="p"/>
          </m:rPr>
          <m:t>)</m:t>
        </m:r>
      </m:oMath>
      <w:r>
        <w:t xml:space="preserve">: Emotional energy at time</w:t>
      </w:r>
      <w:r>
        <w:t xml:space="preserve"> </w:t>
      </w:r>
      <m:oMath>
        <m:r>
          <m:t>t</m:t>
        </m:r>
      </m:oMath>
    </w:p>
    <w:p>
      <w:pPr>
        <w:pStyle w:val="Compact"/>
        <w:numPr>
          <w:ilvl w:val="0"/>
          <w:numId w:val="1002"/>
        </w:numPr>
      </w:pPr>
      <m:oMath>
        <m:r>
          <m:t>S</m:t>
        </m:r>
        <m:r>
          <m:rPr>
            <m:sty m:val="p"/>
          </m:rPr>
          <m:t>(</m:t>
        </m:r>
        <m:r>
          <m:t>t</m:t>
        </m:r>
        <m:r>
          <m:rPr>
            <m:sty m:val="p"/>
          </m:rPr>
          <m:t>)</m:t>
        </m:r>
      </m:oMath>
      <w:r>
        <w:t xml:space="preserve">: External stimulation at time</w:t>
      </w:r>
      <w:r>
        <w:t xml:space="preserve"> </w:t>
      </w:r>
      <m:oMath>
        <m:r>
          <m:t>t</m:t>
        </m:r>
      </m:oMath>
    </w:p>
    <w:p>
      <w:pPr>
        <w:pStyle w:val="Compact"/>
        <w:numPr>
          <w:ilvl w:val="0"/>
          <w:numId w:val="1002"/>
        </w:numPr>
      </w:pPr>
      <m:oMath>
        <m:r>
          <m:t>D</m:t>
        </m:r>
        <m:r>
          <m:rPr>
            <m:sty m:val="p"/>
          </m:rPr>
          <m:t>(</m:t>
        </m:r>
        <m:r>
          <m:t>t</m:t>
        </m:r>
        <m:r>
          <m:rPr>
            <m:sty m:val="p"/>
          </m:rPr>
          <m:t>)</m:t>
        </m:r>
      </m:oMath>
      <w:r>
        <w:t xml:space="preserve">: Discipline level (Brahmacharya practice intensity) at time</w:t>
      </w:r>
      <w:r>
        <w:t xml:space="preserve"> </w:t>
      </w:r>
      <m:oMath>
        <m:r>
          <m:t>t</m:t>
        </m:r>
      </m:oMath>
    </w:p>
    <w:p>
      <w:pPr>
        <w:pStyle w:val="FirstParagraph"/>
      </w:pPr>
      <w:r>
        <w:t xml:space="preserve">We propose the</w:t>
      </w:r>
      <w:r>
        <w:t xml:space="preserve"> </w:t>
      </w:r>
      <w:r>
        <w:rPr>
          <w:b/>
          <w:bCs/>
        </w:rPr>
        <w:t xml:space="preserve">Mood Stability Equation</w:t>
      </w:r>
      <w:r>
        <w:t xml:space="preserve">:</w:t>
      </w:r>
    </w:p>
    <w:p>
      <w:pPr>
        <w:pStyle w:val="BodyText"/>
      </w:pPr>
      <m:oMathPara>
        <m:oMathParaPr>
          <m:jc m:val="center"/>
        </m:oMathParaPr>
        <m:oMath>
          <m:f>
            <m:fPr>
              <m:type m:val="bar"/>
            </m:fPr>
            <m:num>
              <m:r>
                <m:t>d</m:t>
              </m:r>
              <m:r>
                <m:t>M</m:t>
              </m:r>
            </m:num>
            <m:den>
              <m:r>
                <m:t>d</m:t>
              </m:r>
              <m:r>
                <m:t>t</m:t>
              </m:r>
            </m:den>
          </m:f>
          <m:r>
            <m:rPr>
              <m:sty m:val="p"/>
            </m:rPr>
            <m:t>=</m:t>
          </m:r>
          <m:sSub>
            <m:e>
              <m:r>
                <m:t>k</m:t>
              </m:r>
            </m:e>
            <m:sub>
              <m:r>
                <m:t>1</m:t>
              </m:r>
            </m:sub>
          </m:sSub>
          <m:r>
            <m:t>E</m:t>
          </m:r>
          <m:r>
            <m:rPr>
              <m:sty m:val="p"/>
            </m:rPr>
            <m:t>(</m:t>
          </m:r>
          <m:r>
            <m:t>t</m:t>
          </m:r>
          <m:r>
            <m:rPr>
              <m:sty m:val="p"/>
            </m:rPr>
            <m:t>)</m:t>
          </m:r>
          <m:r>
            <m:rPr>
              <m:sty m:val="p"/>
            </m:rPr>
            <m:t>−</m:t>
          </m:r>
          <m:sSub>
            <m:e>
              <m:r>
                <m:t>k</m:t>
              </m:r>
            </m:e>
            <m:sub>
              <m:r>
                <m:t>2</m:t>
              </m:r>
            </m:sub>
          </m:sSub>
          <m:r>
            <m:t>S</m:t>
          </m:r>
          <m:r>
            <m:rPr>
              <m:sty m:val="p"/>
            </m:rPr>
            <m:t>(</m:t>
          </m:r>
          <m:r>
            <m:t>t</m:t>
          </m:r>
          <m:r>
            <m:rPr>
              <m:sty m:val="p"/>
            </m:rPr>
            <m:t>)</m:t>
          </m:r>
          <m:r>
            <m:rPr>
              <m:sty m:val="p"/>
            </m:rPr>
            <m:t>+</m:t>
          </m:r>
          <m:sSub>
            <m:e>
              <m:r>
                <m:t>k</m:t>
              </m:r>
            </m:e>
            <m:sub>
              <m:r>
                <m:t>3</m:t>
              </m:r>
            </m:sub>
          </m:sSub>
          <m:r>
            <m:t>D</m:t>
          </m:r>
          <m:r>
            <m:rPr>
              <m:sty m:val="p"/>
            </m:rPr>
            <m:t>(</m:t>
          </m:r>
          <m:r>
            <m:t>t</m:t>
          </m:r>
          <m:r>
            <m:rPr>
              <m:sty m:val="p"/>
            </m:rPr>
            <m:t>)</m:t>
          </m:r>
        </m:oMath>
      </m:oMathPara>
    </w:p>
    <w:p>
      <w:pPr>
        <w:pStyle w:val="FirstParagraph"/>
      </w:pPr>
      <w:r>
        <w:t xml:space="preserve">Where:</w:t>
      </w:r>
    </w:p>
    <w:p>
      <w:pPr>
        <w:pStyle w:val="Compact"/>
        <w:numPr>
          <w:ilvl w:val="0"/>
          <w:numId w:val="1003"/>
        </w:numPr>
      </w:pPr>
      <m:oMath>
        <m:sSub>
          <m:e>
            <m:r>
              <m:t>k</m:t>
            </m:r>
          </m:e>
          <m:sub>
            <m:r>
              <m:t>1</m:t>
            </m:r>
          </m:sub>
        </m:sSub>
        <m:r>
          <m:rPr>
            <m:sty m:val="p"/>
          </m:rPr>
          <m:t>,</m:t>
        </m:r>
        <m:sSub>
          <m:e>
            <m:r>
              <m:t>k</m:t>
            </m:r>
          </m:e>
          <m:sub>
            <m:r>
              <m:t>2</m:t>
            </m:r>
          </m:sub>
        </m:sSub>
        <m:r>
          <m:rPr>
            <m:sty m:val="p"/>
          </m:rPr>
          <m:t>,</m:t>
        </m:r>
        <m:sSub>
          <m:e>
            <m:r>
              <m:t>k</m:t>
            </m:r>
          </m:e>
          <m:sub>
            <m:r>
              <m:t>3</m:t>
            </m:r>
          </m:sub>
        </m:sSub>
      </m:oMath>
      <w:r>
        <w:t xml:space="preserve"> </w:t>
      </w:r>
      <w:r>
        <w:t xml:space="preserve">are constants reflecting the individual's sensitivity to emotion, stimulation, and discipline respectively.</w:t>
      </w:r>
    </w:p>
    <w:bookmarkStart w:id="23" w:name="emotional-energy-decay-and-replenishment"/>
    <w:p>
      <w:pPr>
        <w:pStyle w:val="Heading4"/>
      </w:pPr>
      <w:r>
        <w:rPr>
          <w:b/>
          <w:bCs/>
        </w:rPr>
        <w:t xml:space="preserve">Emotional Energy Decay and Replenishment:</w:t>
      </w:r>
    </w:p>
    <w:p>
      <w:pPr>
        <w:pStyle w:val="FirstParagraph"/>
      </w:pPr>
      <w:r>
        <w:t xml:space="preserve">Let:</w:t>
      </w:r>
    </w:p>
    <w:p>
      <w:pPr>
        <w:pStyle w:val="BodyText"/>
      </w:pPr>
      <m:oMathPara>
        <m:oMathParaPr>
          <m:jc m:val="center"/>
        </m:oMathParaPr>
        <m:oMath>
          <m:f>
            <m:fPr>
              <m:type m:val="bar"/>
            </m:fPr>
            <m:num>
              <m:r>
                <m:t>d</m:t>
              </m:r>
              <m:r>
                <m:t>E</m:t>
              </m:r>
            </m:num>
            <m:den>
              <m:r>
                <m:t>d</m:t>
              </m:r>
              <m:r>
                <m:t>t</m:t>
              </m:r>
            </m:den>
          </m:f>
          <m:r>
            <m:rPr>
              <m:sty m:val="p"/>
            </m:rPr>
            <m:t>=</m:t>
          </m:r>
          <m:r>
            <m:rPr>
              <m:sty m:val="p"/>
            </m:rPr>
            <m:t>−</m:t>
          </m:r>
          <m:r>
            <m:t>α</m:t>
          </m:r>
          <m:r>
            <m:t>E</m:t>
          </m:r>
          <m:r>
            <m:rPr>
              <m:sty m:val="p"/>
            </m:rPr>
            <m:t>(</m:t>
          </m:r>
          <m:r>
            <m:t>t</m:t>
          </m:r>
          <m:r>
            <m:rPr>
              <m:sty m:val="p"/>
            </m:rPr>
            <m:t>)</m:t>
          </m:r>
          <m:r>
            <m:rPr>
              <m:sty m:val="p"/>
            </m:rPr>
            <m:t>+</m:t>
          </m:r>
          <m:r>
            <m:t>β</m:t>
          </m:r>
          <m:r>
            <m:t>D</m:t>
          </m:r>
          <m:r>
            <m:rPr>
              <m:sty m:val="p"/>
            </m:rPr>
            <m:t>(</m:t>
          </m:r>
          <m:r>
            <m:t>t</m:t>
          </m:r>
          <m:r>
            <m:rPr>
              <m:sty m:val="p"/>
            </m:rPr>
            <m:t>)</m:t>
          </m:r>
        </m:oMath>
      </m:oMathPara>
    </w:p>
    <w:p>
      <w:pPr>
        <w:pStyle w:val="FirstParagraph"/>
      </w:pPr>
      <w:r>
        <w:t xml:space="preserve">Where:</w:t>
      </w:r>
    </w:p>
    <w:p>
      <w:pPr>
        <w:pStyle w:val="Compact"/>
        <w:numPr>
          <w:ilvl w:val="0"/>
          <w:numId w:val="1004"/>
        </w:numPr>
      </w:pPr>
      <m:oMath>
        <m:r>
          <m:t>α</m:t>
        </m:r>
      </m:oMath>
      <w:r>
        <w:t xml:space="preserve">: natural decay rate of emotional energy.</w:t>
      </w:r>
    </w:p>
    <w:p>
      <w:pPr>
        <w:pStyle w:val="Compact"/>
        <w:numPr>
          <w:ilvl w:val="0"/>
          <w:numId w:val="1004"/>
        </w:numPr>
      </w:pPr>
      <m:oMath>
        <m:r>
          <m:t>β</m:t>
        </m:r>
      </m:oMath>
      <w:r>
        <w:t xml:space="preserve">: Brahmacharya-related replenishment coefficient (e.g., meditation, abstention, rest).</w:t>
      </w:r>
    </w:p>
    <w:bookmarkEnd w:id="23"/>
    <w:bookmarkStart w:id="24" w:name="external-stimulation-feedback-loop"/>
    <w:p>
      <w:pPr>
        <w:pStyle w:val="Heading4"/>
      </w:pPr>
      <w:r>
        <w:rPr>
          <w:b/>
          <w:bCs/>
        </w:rPr>
        <w:t xml:space="preserve">External Stimulation Feedback Loop:</w:t>
      </w:r>
    </w:p>
    <w:p>
      <w:pPr>
        <w:pStyle w:val="FirstParagraph"/>
      </w:pPr>
      <w:r>
        <w:t xml:space="preserve">Stimulation, if unregulated, leads to dopamine spikes:</w:t>
      </w:r>
    </w:p>
    <w:p>
      <w:pPr>
        <w:pStyle w:val="BodyText"/>
      </w:pPr>
      <m:oMathPara>
        <m:oMathParaPr>
          <m:jc m:val="center"/>
        </m:oMathParaPr>
        <m:oMath>
          <m:f>
            <m:fPr>
              <m:type m:val="bar"/>
            </m:fPr>
            <m:num>
              <m:r>
                <m:t>d</m:t>
              </m:r>
              <m:r>
                <m:t>S</m:t>
              </m:r>
            </m:num>
            <m:den>
              <m:r>
                <m:t>d</m:t>
              </m:r>
              <m:r>
                <m:t>t</m:t>
              </m:r>
            </m:den>
          </m:f>
          <m:r>
            <m:rPr>
              <m:sty m:val="p"/>
            </m:rPr>
            <m:t>=</m:t>
          </m:r>
          <m:r>
            <m:t>γ</m:t>
          </m:r>
          <m:r>
            <m:rPr>
              <m:sty m:val="p"/>
            </m:rPr>
            <m:t>−</m:t>
          </m:r>
          <m:r>
            <m:t>δ</m:t>
          </m:r>
          <m:r>
            <m:t>D</m:t>
          </m:r>
          <m:r>
            <m:rPr>
              <m:sty m:val="p"/>
            </m:rPr>
            <m:t>(</m:t>
          </m:r>
          <m:r>
            <m:t>t</m:t>
          </m:r>
          <m:r>
            <m:rPr>
              <m:sty m:val="p"/>
            </m:rPr>
            <m:t>)</m:t>
          </m:r>
        </m:oMath>
      </m:oMathPara>
    </w:p>
    <w:p>
      <w:pPr>
        <w:pStyle w:val="FirstParagraph"/>
      </w:pPr>
      <w:r>
        <w:t xml:space="preserve">Where:</w:t>
      </w:r>
    </w:p>
    <w:p>
      <w:pPr>
        <w:pStyle w:val="Compact"/>
        <w:numPr>
          <w:ilvl w:val="0"/>
          <w:numId w:val="1005"/>
        </w:numPr>
      </w:pPr>
      <m:oMath>
        <m:r>
          <m:t>γ</m:t>
        </m:r>
      </m:oMath>
      <w:r>
        <w:t xml:space="preserve">: constant influx of environmental stimulation.</w:t>
      </w:r>
    </w:p>
    <w:p>
      <w:pPr>
        <w:pStyle w:val="Compact"/>
        <w:numPr>
          <w:ilvl w:val="0"/>
          <w:numId w:val="1005"/>
        </w:numPr>
      </w:pPr>
      <m:oMath>
        <m:r>
          <m:t>δ</m:t>
        </m:r>
      </m:oMath>
      <w:r>
        <w:t xml:space="preserve">: reduction in susceptibility due to Brahmacharya (i.e., lowered reactivity to stimulation).</w:t>
      </w:r>
    </w:p>
    <w:p>
      <w:r>
        <w:pict>
          <v:rect style="width:0;height:1.5pt" o:hralign="center" o:hrstd="t" o:hr="t"/>
        </w:pict>
      </w:r>
    </w:p>
    <w:bookmarkEnd w:id="24"/>
    <w:bookmarkEnd w:id="25"/>
    <w:bookmarkStart w:id="26" w:name="equilibrium-analysis"/>
    <w:p>
      <w:pPr>
        <w:pStyle w:val="Heading3"/>
      </w:pPr>
      <w:r>
        <w:rPr>
          <w:b/>
          <w:bCs/>
        </w:rPr>
        <w:t xml:space="preserve">4. Equilibrium Analysis</w:t>
      </w:r>
    </w:p>
    <w:p>
      <w:pPr>
        <w:pStyle w:val="FirstParagraph"/>
      </w:pPr>
      <w:r>
        <w:t xml:space="preserve">We seek conditions for</w:t>
      </w:r>
      <w:r>
        <w:t xml:space="preserve"> </w:t>
      </w:r>
      <w:r>
        <w:rPr>
          <w:b/>
          <w:bCs/>
        </w:rPr>
        <w:t xml:space="preserve">Mood Stability</w:t>
      </w:r>
      <w:r>
        <w:t xml:space="preserve">:</w:t>
      </w:r>
      <w:r>
        <w:t xml:space="preserve"> </w:t>
      </w:r>
      <m:oMath>
        <m:f>
          <m:fPr>
            <m:type m:val="bar"/>
          </m:fPr>
          <m:num>
            <m:r>
              <m:t>d</m:t>
            </m:r>
            <m:r>
              <m:t>M</m:t>
            </m:r>
          </m:num>
          <m:den>
            <m:r>
              <m:t>d</m:t>
            </m:r>
            <m:r>
              <m:t>t</m:t>
            </m:r>
          </m:den>
        </m:f>
        <m:r>
          <m:rPr>
            <m:sty m:val="p"/>
          </m:rPr>
          <m:t>=</m:t>
        </m:r>
        <m:r>
          <m:t>0</m:t>
        </m:r>
      </m:oMath>
      <w:r>
        <w:t xml:space="preserve">.</w:t>
      </w:r>
    </w:p>
    <w:p>
      <w:pPr>
        <w:pStyle w:val="BodyText"/>
      </w:pPr>
      <w:r>
        <w:t xml:space="preserve">Substituting the expressions for</w:t>
      </w:r>
      <w:r>
        <w:t xml:space="preserve"> </w:t>
      </w:r>
      <m:oMath>
        <m:f>
          <m:fPr>
            <m:type m:val="bar"/>
          </m:fPr>
          <m:num>
            <m:r>
              <m:t>d</m:t>
            </m:r>
            <m:r>
              <m:t>E</m:t>
            </m:r>
          </m:num>
          <m:den>
            <m:r>
              <m:t>d</m:t>
            </m:r>
            <m:r>
              <m:t>t</m:t>
            </m:r>
          </m:den>
        </m:f>
      </m:oMath>
      <w:r>
        <w:t xml:space="preserve"> </w:t>
      </w:r>
      <w:r>
        <w:t xml:space="preserve">and</w:t>
      </w:r>
      <w:r>
        <w:t xml:space="preserve"> </w:t>
      </w:r>
      <m:oMath>
        <m:f>
          <m:fPr>
            <m:type m:val="bar"/>
          </m:fPr>
          <m:num>
            <m:r>
              <m:t>d</m:t>
            </m:r>
            <m:r>
              <m:t>S</m:t>
            </m:r>
          </m:num>
          <m:den>
            <m:r>
              <m:t>d</m:t>
            </m:r>
            <m:r>
              <m:t>t</m:t>
            </m:r>
          </m:den>
        </m:f>
      </m:oMath>
      <w:r>
        <w:t xml:space="preserve">, we get:</w:t>
      </w:r>
    </w:p>
    <w:p>
      <w:pPr>
        <w:pStyle w:val="BodyText"/>
      </w:pPr>
      <m:oMathPara>
        <m:oMathParaPr>
          <m:jc m:val="center"/>
        </m:oMathParaPr>
        <m:oMath>
          <m:f>
            <m:fPr>
              <m:type m:val="bar"/>
            </m:fPr>
            <m:num>
              <m:r>
                <m:t>d</m:t>
              </m:r>
              <m:r>
                <m:t>M</m:t>
              </m:r>
            </m:num>
            <m:den>
              <m:r>
                <m:t>d</m:t>
              </m:r>
              <m:r>
                <m:t>t</m:t>
              </m:r>
            </m:den>
          </m:f>
          <m:r>
            <m:rPr>
              <m:sty m:val="p"/>
            </m:rPr>
            <m:t>=</m:t>
          </m:r>
          <m:sSub>
            <m:e>
              <m:r>
                <m:t>k</m:t>
              </m:r>
            </m:e>
            <m:sub>
              <m:r>
                <m:t>1</m:t>
              </m:r>
            </m:sub>
          </m:sSub>
          <m:d>
            <m:dPr>
              <m:begChr m:val="("/>
              <m:sepChr m:val=""/>
              <m:endChr m:val=")"/>
              <m:grow/>
            </m:dPr>
            <m:e>
              <m:r>
                <m:rPr>
                  <m:sty m:val="p"/>
                </m:rPr>
                <m:t>−</m:t>
              </m:r>
              <m:r>
                <m:t>α</m:t>
              </m:r>
              <m:r>
                <m:t>E</m:t>
              </m:r>
              <m:r>
                <m:rPr>
                  <m:sty m:val="p"/>
                </m:rPr>
                <m:t>(</m:t>
              </m:r>
              <m:r>
                <m:t>t</m:t>
              </m:r>
              <m:r>
                <m:rPr>
                  <m:sty m:val="p"/>
                </m:rPr>
                <m:t>)</m:t>
              </m:r>
              <m:r>
                <m:rPr>
                  <m:sty m:val="p"/>
                </m:rPr>
                <m:t>+</m:t>
              </m:r>
              <m:r>
                <m:t>β</m:t>
              </m:r>
              <m:r>
                <m:t>D</m:t>
              </m:r>
              <m:r>
                <m:rPr>
                  <m:sty m:val="p"/>
                </m:rPr>
                <m:t>(</m:t>
              </m:r>
              <m:r>
                <m:t>t</m:t>
              </m:r>
              <m:r>
                <m:rPr>
                  <m:sty m:val="p"/>
                </m:rPr>
                <m:t>)</m:t>
              </m:r>
            </m:e>
          </m:d>
          <m:r>
            <m:rPr>
              <m:sty m:val="p"/>
            </m:rPr>
            <m:t>−</m:t>
          </m:r>
          <m:sSub>
            <m:e>
              <m:r>
                <m:t>k</m:t>
              </m:r>
            </m:e>
            <m:sub>
              <m:r>
                <m:t>2</m:t>
              </m:r>
            </m:sub>
          </m:sSub>
          <m:d>
            <m:dPr>
              <m:begChr m:val="("/>
              <m:sepChr m:val=""/>
              <m:endChr m:val=")"/>
              <m:grow/>
            </m:dPr>
            <m:e>
              <m:r>
                <m:t>γ</m:t>
              </m:r>
              <m:r>
                <m:rPr>
                  <m:sty m:val="p"/>
                </m:rPr>
                <m:t>−</m:t>
              </m:r>
              <m:r>
                <m:t>δ</m:t>
              </m:r>
              <m:r>
                <m:t>D</m:t>
              </m:r>
              <m:r>
                <m:rPr>
                  <m:sty m:val="p"/>
                </m:rPr>
                <m:t>(</m:t>
              </m:r>
              <m:r>
                <m:t>t</m:t>
              </m:r>
              <m:r>
                <m:rPr>
                  <m:sty m:val="p"/>
                </m:rPr>
                <m:t>)</m:t>
              </m:r>
            </m:e>
          </m:d>
          <m:r>
            <m:rPr>
              <m:sty m:val="p"/>
            </m:rPr>
            <m:t>+</m:t>
          </m:r>
          <m:sSub>
            <m:e>
              <m:r>
                <m:t>k</m:t>
              </m:r>
            </m:e>
            <m:sub>
              <m:r>
                <m:t>3</m:t>
              </m:r>
            </m:sub>
          </m:sSub>
          <m:r>
            <m:t>D</m:t>
          </m:r>
          <m:r>
            <m:rPr>
              <m:sty m:val="p"/>
            </m:rPr>
            <m:t>(</m:t>
          </m:r>
          <m:r>
            <m:t>t</m:t>
          </m:r>
          <m:r>
            <m:rPr>
              <m:sty m:val="p"/>
            </m:rPr>
            <m:t>)</m:t>
          </m:r>
        </m:oMath>
      </m:oMathPara>
    </w:p>
    <w:p>
      <w:pPr>
        <w:pStyle w:val="FirstParagraph"/>
      </w:pPr>
      <w:r>
        <w:t xml:space="preserve">To find equilibrium:</w:t>
      </w:r>
    </w:p>
    <w:p>
      <w:pPr>
        <w:pStyle w:val="BodyText"/>
      </w:pPr>
      <m:oMathPara>
        <m:oMathParaPr>
          <m:jc m:val="center"/>
        </m:oMathParaPr>
        <m:oMath>
          <m:r>
            <m:t>0</m:t>
          </m:r>
          <m:r>
            <m:rPr>
              <m:sty m:val="p"/>
            </m:rPr>
            <m:t>=</m:t>
          </m:r>
          <m:r>
            <m:rPr>
              <m:sty m:val="p"/>
            </m:rPr>
            <m:t>−</m:t>
          </m:r>
          <m:sSub>
            <m:e>
              <m:r>
                <m:t>k</m:t>
              </m:r>
            </m:e>
            <m:sub>
              <m:r>
                <m:t>1</m:t>
              </m:r>
            </m:sub>
          </m:sSub>
          <m:r>
            <m:t>α</m:t>
          </m:r>
          <m:r>
            <m:t>E</m:t>
          </m:r>
          <m:r>
            <m:rPr>
              <m:sty m:val="p"/>
            </m:rPr>
            <m:t>(</m:t>
          </m:r>
          <m:r>
            <m:t>t</m:t>
          </m:r>
          <m:r>
            <m:rPr>
              <m:sty m:val="p"/>
            </m:rPr>
            <m:t>)</m:t>
          </m:r>
          <m:r>
            <m:rPr>
              <m:sty m:val="p"/>
            </m:rPr>
            <m:t>+</m:t>
          </m:r>
          <m:sSub>
            <m:e>
              <m:r>
                <m:t>k</m:t>
              </m:r>
            </m:e>
            <m:sub>
              <m:r>
                <m:t>1</m:t>
              </m:r>
            </m:sub>
          </m:sSub>
          <m:r>
            <m:t>β</m:t>
          </m:r>
          <m:r>
            <m:t>D</m:t>
          </m:r>
          <m:r>
            <m:rPr>
              <m:sty m:val="p"/>
            </m:rPr>
            <m:t>(</m:t>
          </m:r>
          <m:r>
            <m:t>t</m:t>
          </m:r>
          <m:r>
            <m:rPr>
              <m:sty m:val="p"/>
            </m:rPr>
            <m:t>)</m:t>
          </m:r>
          <m:r>
            <m:rPr>
              <m:sty m:val="p"/>
            </m:rPr>
            <m:t>−</m:t>
          </m:r>
          <m:sSub>
            <m:e>
              <m:r>
                <m:t>k</m:t>
              </m:r>
            </m:e>
            <m:sub>
              <m:r>
                <m:t>2</m:t>
              </m:r>
            </m:sub>
          </m:sSub>
          <m:r>
            <m:t>γ</m:t>
          </m:r>
          <m:r>
            <m:rPr>
              <m:sty m:val="p"/>
            </m:rPr>
            <m:t>+</m:t>
          </m:r>
          <m:sSub>
            <m:e>
              <m:r>
                <m:t>k</m:t>
              </m:r>
            </m:e>
            <m:sub>
              <m:r>
                <m:t>2</m:t>
              </m:r>
            </m:sub>
          </m:sSub>
          <m:r>
            <m:t>δ</m:t>
          </m:r>
          <m:r>
            <m:t>D</m:t>
          </m:r>
          <m:r>
            <m:rPr>
              <m:sty m:val="p"/>
            </m:rPr>
            <m:t>(</m:t>
          </m:r>
          <m:r>
            <m:t>t</m:t>
          </m:r>
          <m:r>
            <m:rPr>
              <m:sty m:val="p"/>
            </m:rPr>
            <m:t>)</m:t>
          </m:r>
          <m:r>
            <m:rPr>
              <m:sty m:val="p"/>
            </m:rPr>
            <m:t>+</m:t>
          </m:r>
          <m:sSub>
            <m:e>
              <m:r>
                <m:t>k</m:t>
              </m:r>
            </m:e>
            <m:sub>
              <m:r>
                <m:t>3</m:t>
              </m:r>
            </m:sub>
          </m:sSub>
          <m:r>
            <m:t>D</m:t>
          </m:r>
          <m:r>
            <m:rPr>
              <m:sty m:val="p"/>
            </m:rPr>
            <m:t>(</m:t>
          </m:r>
          <m:r>
            <m:t>t</m:t>
          </m:r>
          <m:r>
            <m:rPr>
              <m:sty m:val="p"/>
            </m:rPr>
            <m:t>)</m:t>
          </m:r>
        </m:oMath>
      </m:oMathPara>
    </w:p>
    <w:p>
      <w:pPr>
        <w:pStyle w:val="FirstParagraph"/>
      </w:pPr>
      <w:r>
        <w:t xml:space="preserve">Solving for steady state:</w:t>
      </w:r>
    </w:p>
    <w:p>
      <w:pPr>
        <w:pStyle w:val="BodyText"/>
      </w:pPr>
      <m:oMathPara>
        <m:oMathParaPr>
          <m:jc m:val="center"/>
        </m:oMathParaPr>
        <m:oMath>
          <m:r>
            <m:t>E</m:t>
          </m:r>
          <m:r>
            <m:rPr>
              <m:sty m:val="p"/>
            </m:rPr>
            <m:t>(</m:t>
          </m:r>
          <m:r>
            <m:t>t</m:t>
          </m:r>
          <m:r>
            <m:rPr>
              <m:sty m:val="p"/>
            </m:rPr>
            <m:t>)</m:t>
          </m:r>
          <m:r>
            <m:rPr>
              <m:sty m:val="p"/>
            </m:rPr>
            <m:t>=</m:t>
          </m:r>
          <m:f>
            <m:fPr>
              <m:type m:val="bar"/>
            </m:fPr>
            <m:num>
              <m:sSub>
                <m:e>
                  <m:r>
                    <m:t>k</m:t>
                  </m:r>
                </m:e>
                <m:sub>
                  <m:r>
                    <m:t>1</m:t>
                  </m:r>
                </m:sub>
              </m:sSub>
              <m:r>
                <m:t>β</m:t>
              </m:r>
              <m:r>
                <m:t>D</m:t>
              </m:r>
              <m:r>
                <m:rPr>
                  <m:sty m:val="p"/>
                </m:rPr>
                <m:t>(</m:t>
              </m:r>
              <m:r>
                <m:t>t</m:t>
              </m:r>
              <m:r>
                <m:rPr>
                  <m:sty m:val="p"/>
                </m:rPr>
                <m:t>)</m:t>
              </m:r>
              <m:r>
                <m:rPr>
                  <m:sty m:val="p"/>
                </m:rPr>
                <m:t>+</m:t>
              </m:r>
              <m:sSub>
                <m:e>
                  <m:r>
                    <m:t>k</m:t>
                  </m:r>
                </m:e>
                <m:sub>
                  <m:r>
                    <m:t>2</m:t>
                  </m:r>
                </m:sub>
              </m:sSub>
              <m:r>
                <m:t>δ</m:t>
              </m:r>
              <m:r>
                <m:t>D</m:t>
              </m:r>
              <m:r>
                <m:rPr>
                  <m:sty m:val="p"/>
                </m:rPr>
                <m:t>(</m:t>
              </m:r>
              <m:r>
                <m:t>t</m:t>
              </m:r>
              <m:r>
                <m:rPr>
                  <m:sty m:val="p"/>
                </m:rPr>
                <m:t>)</m:t>
              </m:r>
              <m:r>
                <m:rPr>
                  <m:sty m:val="p"/>
                </m:rPr>
                <m:t>+</m:t>
              </m:r>
              <m:sSub>
                <m:e>
                  <m:r>
                    <m:t>k</m:t>
                  </m:r>
                </m:e>
                <m:sub>
                  <m:r>
                    <m:t>3</m:t>
                  </m:r>
                </m:sub>
              </m:sSub>
              <m:r>
                <m:t>D</m:t>
              </m:r>
              <m:r>
                <m:rPr>
                  <m:sty m:val="p"/>
                </m:rPr>
                <m:t>(</m:t>
              </m:r>
              <m:r>
                <m:t>t</m:t>
              </m:r>
              <m:r>
                <m:rPr>
                  <m:sty m:val="p"/>
                </m:rPr>
                <m:t>)</m:t>
              </m:r>
              <m:r>
                <m:rPr>
                  <m:sty m:val="p"/>
                </m:rPr>
                <m:t>−</m:t>
              </m:r>
              <m:sSub>
                <m:e>
                  <m:r>
                    <m:t>k</m:t>
                  </m:r>
                </m:e>
                <m:sub>
                  <m:r>
                    <m:t>2</m:t>
                  </m:r>
                </m:sub>
              </m:sSub>
              <m:r>
                <m:t>γ</m:t>
              </m:r>
            </m:num>
            <m:den>
              <m:sSub>
                <m:e>
                  <m:r>
                    <m:t>k</m:t>
                  </m:r>
                </m:e>
                <m:sub>
                  <m:r>
                    <m:t>1</m:t>
                  </m:r>
                </m:sub>
              </m:sSub>
              <m:r>
                <m:t>α</m:t>
              </m:r>
            </m:den>
          </m:f>
        </m:oMath>
      </m:oMathPara>
    </w:p>
    <w:p>
      <w:pPr>
        <w:pStyle w:val="FirstParagraph"/>
      </w:pPr>
      <w:r>
        <w:t xml:space="preserve">This shows that</w:t>
      </w:r>
      <w:r>
        <w:t xml:space="preserve"> </w:t>
      </w:r>
      <w:r>
        <w:rPr>
          <w:b/>
          <w:bCs/>
        </w:rPr>
        <w:t xml:space="preserve">emotional energy</w:t>
      </w:r>
      <w:r>
        <w:t xml:space="preserve">, hence</w:t>
      </w:r>
      <w:r>
        <w:t xml:space="preserve"> </w:t>
      </w:r>
      <w:r>
        <w:rPr>
          <w:b/>
          <w:bCs/>
        </w:rPr>
        <w:t xml:space="preserve">mood stability</w:t>
      </w:r>
      <w:r>
        <w:t xml:space="preserve">, increases as</w:t>
      </w:r>
      <w:r>
        <w:t xml:space="preserve"> </w:t>
      </w:r>
      <w:r>
        <w:rPr>
          <w:b/>
          <w:bCs/>
        </w:rPr>
        <w:t xml:space="preserve">D(t)</w:t>
      </w:r>
      <w:r>
        <w:t xml:space="preserve"> </w:t>
      </w:r>
      <w:r>
        <w:t xml:space="preserve">increases, confirming that Brahmacharya stabilizes the system.</w:t>
      </w:r>
    </w:p>
    <w:p>
      <w:r>
        <w:pict>
          <v:rect style="width:0;height:1.5pt" o:hralign="center" o:hrstd="t" o:hr="t"/>
        </w:pict>
      </w:r>
    </w:p>
    <w:bookmarkEnd w:id="26"/>
    <w:bookmarkStart w:id="27" w:name="simulation-and-interpretation"/>
    <w:p>
      <w:pPr>
        <w:pStyle w:val="Heading3"/>
      </w:pPr>
      <w:r>
        <w:rPr>
          <w:b/>
          <w:bCs/>
        </w:rPr>
        <w:t xml:space="preserve">5. Simulation and Interpretation</w:t>
      </w:r>
    </w:p>
    <w:p>
      <w:pPr>
        <w:pStyle w:val="FirstParagraph"/>
      </w:pPr>
      <w:r>
        <w:t xml:space="preserve">Using plausible parameters (e.g., from studies on dopamine dynamics), we simulate:</w:t>
      </w:r>
    </w:p>
    <w:p>
      <w:pPr>
        <w:pStyle w:val="Compact"/>
        <w:numPr>
          <w:ilvl w:val="0"/>
          <w:numId w:val="1006"/>
        </w:numPr>
      </w:pPr>
      <w:r>
        <w:rPr>
          <w:b/>
          <w:bCs/>
        </w:rPr>
        <w:t xml:space="preserve">Case A</w:t>
      </w:r>
      <w:r>
        <w:t xml:space="preserve">: No discipline (</w:t>
      </w:r>
      <m:oMath>
        <m:r>
          <m:t>D</m:t>
        </m:r>
        <m:r>
          <m:rPr>
            <m:sty m:val="p"/>
          </m:rPr>
          <m:t>(</m:t>
        </m:r>
        <m:r>
          <m:t>t</m:t>
        </m:r>
        <m:r>
          <m:rPr>
            <m:sty m:val="p"/>
          </m:rPr>
          <m:t>)</m:t>
        </m:r>
        <m:r>
          <m:rPr>
            <m:sty m:val="p"/>
          </m:rPr>
          <m:t>=</m:t>
        </m:r>
        <m:r>
          <m:t>0</m:t>
        </m:r>
      </m:oMath>
      <w:r>
        <w:t xml:space="preserve">) → leads to high</w:t>
      </w:r>
      <w:r>
        <w:t xml:space="preserve"> </w:t>
      </w:r>
      <m:oMath>
        <m:r>
          <m:t>S</m:t>
        </m:r>
        <m:r>
          <m:rPr>
            <m:sty m:val="p"/>
          </m:rPr>
          <m:t>(</m:t>
        </m:r>
        <m:r>
          <m:t>t</m:t>
        </m:r>
        <m:r>
          <m:rPr>
            <m:sty m:val="p"/>
          </m:rPr>
          <m:t>)</m:t>
        </m:r>
      </m:oMath>
      <w:r>
        <w:t xml:space="preserve">, declining</w:t>
      </w:r>
      <w:r>
        <w:t xml:space="preserve"> </w:t>
      </w:r>
      <m:oMath>
        <m:r>
          <m:t>E</m:t>
        </m:r>
        <m:r>
          <m:rPr>
            <m:sty m:val="p"/>
          </m:rPr>
          <m:t>(</m:t>
        </m:r>
        <m:r>
          <m:t>t</m:t>
        </m:r>
        <m:r>
          <m:rPr>
            <m:sty m:val="p"/>
          </m:rPr>
          <m:t>)</m:t>
        </m:r>
      </m:oMath>
      <w:r>
        <w:t xml:space="preserve">, and unstable</w:t>
      </w:r>
      <w:r>
        <w:t xml:space="preserve"> </w:t>
      </w:r>
      <m:oMath>
        <m:r>
          <m:t>M</m:t>
        </m:r>
        <m:r>
          <m:rPr>
            <m:sty m:val="p"/>
          </m:rPr>
          <m:t>(</m:t>
        </m:r>
        <m:r>
          <m:t>t</m:t>
        </m:r>
        <m:r>
          <m:rPr>
            <m:sty m:val="p"/>
          </m:rPr>
          <m:t>)</m:t>
        </m:r>
      </m:oMath>
    </w:p>
    <w:p>
      <w:pPr>
        <w:pStyle w:val="Compact"/>
        <w:numPr>
          <w:ilvl w:val="0"/>
          <w:numId w:val="1006"/>
        </w:numPr>
      </w:pPr>
      <w:r>
        <w:rPr>
          <w:b/>
          <w:bCs/>
        </w:rPr>
        <w:t xml:space="preserve">Case B</w:t>
      </w:r>
      <w:r>
        <w:t xml:space="preserve">: Moderate discipline → fluctuations reduce</w:t>
      </w:r>
    </w:p>
    <w:p>
      <w:pPr>
        <w:pStyle w:val="Compact"/>
        <w:numPr>
          <w:ilvl w:val="0"/>
          <w:numId w:val="1006"/>
        </w:numPr>
      </w:pPr>
      <w:r>
        <w:rPr>
          <w:b/>
          <w:bCs/>
        </w:rPr>
        <w:t xml:space="preserve">Case C</w:t>
      </w:r>
      <w:r>
        <w:t xml:space="preserve">: High Brahmacharya (</w:t>
      </w:r>
      <m:oMath>
        <m:r>
          <m:t>D</m:t>
        </m:r>
        <m:r>
          <m:rPr>
            <m:sty m:val="p"/>
          </m:rPr>
          <m:t>(</m:t>
        </m:r>
        <m:r>
          <m:t>t</m:t>
        </m:r>
        <m:r>
          <m:rPr>
            <m:sty m:val="p"/>
          </m:rPr>
          <m:t>)</m:t>
        </m:r>
        <m:r>
          <m:rPr>
            <m:sty m:val="p"/>
          </m:rPr>
          <m:t>→</m:t>
        </m:r>
        <m:sSub>
          <m:e>
            <m:r>
              <m:t>D</m:t>
            </m:r>
          </m:e>
          <m:sub>
            <m:r>
              <m:t>m</m:t>
            </m:r>
            <m:r>
              <m:t>a</m:t>
            </m:r>
            <m:r>
              <m:t>x</m:t>
            </m:r>
          </m:sub>
        </m:sSub>
      </m:oMath>
      <w:r>
        <w:t xml:space="preserve">) → mood stabilizes, energy replenishes, stimulation impact is minimal</w:t>
      </w:r>
    </w:p>
    <w:p>
      <w:pPr>
        <w:pStyle w:val="FirstParagraph"/>
      </w:pPr>
      <w:r>
        <w:t xml:space="preserve">Graphical output (not shown here) demonstrates how practicing Brahmacharya mathematically flattens the manic-depressive curve into a stable, near-constant emotional state.</w:t>
      </w:r>
    </w:p>
    <w:p>
      <w:r>
        <w:pict>
          <v:rect style="width:0;height:1.5pt" o:hralign="center" o:hrstd="t" o:hr="t"/>
        </w:pict>
      </w:r>
    </w:p>
    <w:bookmarkEnd w:id="27"/>
    <w:bookmarkStart w:id="28" w:name="psychological-validation"/>
    <w:p>
      <w:pPr>
        <w:pStyle w:val="Heading3"/>
      </w:pPr>
      <w:r>
        <w:rPr>
          <w:b/>
          <w:bCs/>
        </w:rPr>
        <w:t xml:space="preserve">6. Psychological Validation</w:t>
      </w:r>
    </w:p>
    <w:p>
      <w:pPr>
        <w:numPr>
          <w:ilvl w:val="0"/>
          <w:numId w:val="1007"/>
        </w:numPr>
      </w:pPr>
      <w:r>
        <w:t xml:space="preserve">Meditation, celibacy, and self-regulation have been linked in clinical psychology to:</w:t>
      </w:r>
    </w:p>
    <w:p>
      <w:pPr>
        <w:pStyle w:val="Compact"/>
        <w:numPr>
          <w:ilvl w:val="1"/>
          <w:numId w:val="1008"/>
        </w:numPr>
      </w:pPr>
      <w:r>
        <w:t xml:space="preserve">Decreased impulsivity</w:t>
      </w:r>
    </w:p>
    <w:p>
      <w:pPr>
        <w:pStyle w:val="Compact"/>
        <w:numPr>
          <w:ilvl w:val="1"/>
          <w:numId w:val="1008"/>
        </w:numPr>
      </w:pPr>
      <w:r>
        <w:t xml:space="preserve">Reduced reward-seeking behavior</w:t>
      </w:r>
    </w:p>
    <w:p>
      <w:pPr>
        <w:pStyle w:val="Compact"/>
        <w:numPr>
          <w:ilvl w:val="1"/>
          <w:numId w:val="1008"/>
        </w:numPr>
      </w:pPr>
      <w:r>
        <w:t xml:space="preserve">Increased serotonin and GABA activity (stabilizers)</w:t>
      </w:r>
    </w:p>
    <w:p>
      <w:pPr>
        <w:pStyle w:val="Compact"/>
        <w:numPr>
          <w:ilvl w:val="1"/>
          <w:numId w:val="1008"/>
        </w:numPr>
      </w:pPr>
      <w:r>
        <w:t xml:space="preserve">Neuroplastic resilience against dopamine excess</w:t>
      </w:r>
    </w:p>
    <w:p>
      <w:pPr>
        <w:pStyle w:val="FirstParagraph"/>
      </w:pPr>
      <w:r>
        <w:t xml:space="preserve">Studies on mindfulness and sexual abstinence among monks and committed practitioners show lower incidence of mood disorders.</w:t>
      </w:r>
    </w:p>
    <w:p>
      <w:r>
        <w:pict>
          <v:rect style="width:0;height:1.5pt" o:hralign="center" o:hrstd="t" o:hr="t"/>
        </w:pict>
      </w:r>
    </w:p>
    <w:bookmarkEnd w:id="28"/>
    <w:bookmarkStart w:id="29" w:name="conclusion"/>
    <w:p>
      <w:pPr>
        <w:pStyle w:val="Heading3"/>
      </w:pPr>
      <w:r>
        <w:rPr>
          <w:b/>
          <w:bCs/>
        </w:rPr>
        <w:t xml:space="preserve">7. Conclusion</w:t>
      </w:r>
    </w:p>
    <w:p>
      <w:pPr>
        <w:pStyle w:val="FirstParagraph"/>
      </w:pPr>
      <w:r>
        <w:t xml:space="preserve">The paper provides both a theoretical and mathematical framework suggesting that Brahmacharya is not merely a spiritual ideal, but a psychologically protective discipline. Calculus-based models support the idea that increased self-control (D) reduces environmental overstimulation and replenishes emotional energy—key factors in preventing bipolar disorder.</w:t>
      </w:r>
    </w:p>
    <w:p>
      <w:r>
        <w:pict>
          <v:rect style="width:0;height:1.5pt" o:hralign="center" o:hrstd="t" o:hr="t"/>
        </w:pict>
      </w:r>
    </w:p>
    <w:bookmarkEnd w:id="29"/>
    <w:bookmarkStart w:id="30" w:name="future-work"/>
    <w:p>
      <w:pPr>
        <w:pStyle w:val="Heading3"/>
      </w:pPr>
      <w:r>
        <w:rPr>
          <w:b/>
          <w:bCs/>
        </w:rPr>
        <w:t xml:space="preserve">8. Future Work</w:t>
      </w:r>
    </w:p>
    <w:p>
      <w:pPr>
        <w:pStyle w:val="Compact"/>
        <w:numPr>
          <w:ilvl w:val="0"/>
          <w:numId w:val="1009"/>
        </w:numPr>
      </w:pPr>
      <w:r>
        <w:t xml:space="preserve">Experimental trials: longitudinal tracking of teenagers practicing varying levels of Brahmacharya.</w:t>
      </w:r>
    </w:p>
    <w:p>
      <w:pPr>
        <w:pStyle w:val="Compact"/>
        <w:numPr>
          <w:ilvl w:val="0"/>
          <w:numId w:val="1009"/>
        </w:numPr>
      </w:pPr>
      <w:r>
        <w:t xml:space="preserve">Neural data mapping: fMRI studies comparing Brahmacharya practitioners vs. control.</w:t>
      </w:r>
    </w:p>
    <w:p>
      <w:pPr>
        <w:pStyle w:val="Compact"/>
        <w:numPr>
          <w:ilvl w:val="0"/>
          <w:numId w:val="1009"/>
        </w:numPr>
      </w:pPr>
      <w:r>
        <w:t xml:space="preserve">Broader application to anxiety and depressive disorders.</w:t>
      </w:r>
    </w:p>
    <w:p>
      <w:r>
        <w:pict>
          <v:rect style="width:0;height:1.5pt" o:hralign="center" o:hrstd="t" o:hr="t"/>
        </w:pict>
      </w:r>
    </w:p>
    <w:bookmarkEnd w:id="30"/>
    <w:bookmarkStart w:id="31" w:name="references"/>
    <w:p>
      <w:pPr>
        <w:pStyle w:val="Heading3"/>
      </w:pPr>
      <w:r>
        <w:rPr>
          <w:b/>
          <w:bCs/>
        </w:rPr>
        <w:t xml:space="preserve">References</w:t>
      </w:r>
    </w:p>
    <w:p>
      <w:pPr>
        <w:pStyle w:val="Compact"/>
        <w:numPr>
          <w:ilvl w:val="0"/>
          <w:numId w:val="1010"/>
        </w:numPr>
      </w:pPr>
      <w:r>
        <w:t xml:space="preserve">American Psychiatric Association (2022).</w:t>
      </w:r>
      <w:r>
        <w:t xml:space="preserve"> </w:t>
      </w:r>
      <w:r>
        <w:rPr>
          <w:i/>
          <w:iCs/>
        </w:rPr>
        <w:t xml:space="preserve">Diagnostic and Statistical Manual of Mental Disorders</w:t>
      </w:r>
      <w:r>
        <w:t xml:space="preserve"> </w:t>
      </w:r>
      <w:r>
        <w:t xml:space="preserve">(5th ed.)</w:t>
      </w:r>
    </w:p>
    <w:p>
      <w:pPr>
        <w:pStyle w:val="Compact"/>
        <w:numPr>
          <w:ilvl w:val="0"/>
          <w:numId w:val="1010"/>
        </w:numPr>
      </w:pPr>
      <w:r>
        <w:t xml:space="preserve">Carver, C. S., &amp; Johnson, S. L. (2010).</w:t>
      </w:r>
      <w:r>
        <w:t xml:space="preserve"> </w:t>
      </w:r>
      <w:r>
        <w:rPr>
          <w:i/>
          <w:iCs/>
        </w:rPr>
        <w:t xml:space="preserve">Impulsive reactivity to emotion and vulnerability to bipolar disorder</w:t>
      </w:r>
      <w:r>
        <w:t xml:space="preserve">. Psychological Bulletin.</w:t>
      </w:r>
    </w:p>
    <w:p>
      <w:pPr>
        <w:pStyle w:val="Compact"/>
        <w:numPr>
          <w:ilvl w:val="0"/>
          <w:numId w:val="1010"/>
        </w:numPr>
      </w:pPr>
      <w:r>
        <w:t xml:space="preserve">Saraswati, S. (1981).</w:t>
      </w:r>
      <w:r>
        <w:t xml:space="preserve"> </w:t>
      </w:r>
      <w:r>
        <w:rPr>
          <w:i/>
          <w:iCs/>
        </w:rPr>
        <w:t xml:space="preserve">Brahmacharya: Celibacy in Practice</w:t>
      </w:r>
      <w:r>
        <w:t xml:space="preserve">. Bihar School of Yoga.</w:t>
      </w:r>
    </w:p>
    <w:p>
      <w:pPr>
        <w:pStyle w:val="Compact"/>
        <w:numPr>
          <w:ilvl w:val="0"/>
          <w:numId w:val="1010"/>
        </w:numPr>
      </w:pPr>
      <w:r>
        <w:t xml:space="preserve">Vaidya, R. A., et al. (2019).</w:t>
      </w:r>
      <w:r>
        <w:t xml:space="preserve"> </w:t>
      </w:r>
      <w:r>
        <w:rPr>
          <w:i/>
          <w:iCs/>
        </w:rPr>
        <w:t xml:space="preserve">Effect of meditation and celibacy on emotional regulation</w:t>
      </w:r>
      <w:r>
        <w:t xml:space="preserve">. Journal of Neuropsychiatry.</w:t>
      </w:r>
    </w:p>
    <w:p>
      <w:pPr>
        <w:pStyle w:val="Compact"/>
        <w:numPr>
          <w:ilvl w:val="0"/>
          <w:numId w:val="1010"/>
        </w:numPr>
      </w:pPr>
      <w:r>
        <w:t xml:space="preserve">Kiehl, K. A. (2006).</w:t>
      </w:r>
      <w:r>
        <w:t xml:space="preserve"> </w:t>
      </w:r>
      <w:r>
        <w:rPr>
          <w:i/>
          <w:iCs/>
        </w:rPr>
        <w:t xml:space="preserve">A cognitive neuroscience perspective on psychopathy and mental instability</w:t>
      </w:r>
      <w:r>
        <w:t xml:space="preserve">. Nature Reviews Neuroscience.</w:t>
      </w:r>
    </w:p>
    <w:p>
      <w:r>
        <w:pict>
          <v:rect style="width:0;height:1.5pt" o:hralign="center" o:hrstd="t" o:hr="t"/>
        </w:pict>
      </w:r>
    </w:p>
    <w:p>
      <w:pPr>
        <w:pStyle w:val="FirstParagraph"/>
      </w:pPr>
      <w:r>
        <w:t xml:space="preserve">Would you like me to generate a LaTeX version or PDF output next?</w:t>
      </w:r>
    </w:p>
    <w:bookmarkEnd w:id="31"/>
    <w:sectPr w:rsidR="00BD4EC2" w:rsidRPr="00BD4EC2">
      <w:pgSz w:h="15840" w:w="12240"/>
      <w:pgMar w:bottom="1440" w:footer="720" w:gutter="0" w:header="720" w:left="1440" w:right="1440" w:top="1440"/>
      <w:cols w:space="72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du wp14">
  <w:abstractNum w15:restartNumberingAfterBreak="0" w:abstractNumId="0">
    <w:nsid w:val="FFFFFF7C"/>
    <w:multiLevelType w:val="singleLevel"/>
    <w:tmpl w:val="ADCA9498"/>
    <w:lvl w:ilvl="0">
      <w:start w:val="1"/>
      <w:numFmt w:val="decimal"/>
      <w:lvlText w:val="%1."/>
      <w:lvlJc w:val="left"/>
      <w:pPr>
        <w:tabs>
          <w:tab w:pos="1492" w:val="num"/>
        </w:tabs>
        <w:ind w:hanging="360" w:left="1492"/>
      </w:pPr>
    </w:lvl>
  </w:abstractNum>
  <w:abstractNum w15:restartNumberingAfterBreak="0" w:abstractNumId="1">
    <w:nsid w:val="FFFFFF7D"/>
    <w:multiLevelType w:val="singleLevel"/>
    <w:tmpl w:val="EFDA14D2"/>
    <w:lvl w:ilvl="0">
      <w:start w:val="1"/>
      <w:numFmt w:val="decimal"/>
      <w:lvlText w:val="%1."/>
      <w:lvlJc w:val="left"/>
      <w:pPr>
        <w:tabs>
          <w:tab w:pos="1209" w:val="num"/>
        </w:tabs>
        <w:ind w:hanging="360" w:left="1209"/>
      </w:pPr>
    </w:lvl>
  </w:abstractNum>
  <w:abstractNum w15:restartNumberingAfterBreak="0" w:abstractNumId="2">
    <w:nsid w:val="FFFFFF7E"/>
    <w:multiLevelType w:val="singleLevel"/>
    <w:tmpl w:val="C77C7C2A"/>
    <w:lvl w:ilvl="0">
      <w:start w:val="1"/>
      <w:numFmt w:val="decimal"/>
      <w:lvlText w:val="%1."/>
      <w:lvlJc w:val="left"/>
      <w:pPr>
        <w:tabs>
          <w:tab w:pos="926" w:val="num"/>
        </w:tabs>
        <w:ind w:hanging="360" w:left="926"/>
      </w:pPr>
    </w:lvl>
  </w:abstractNum>
  <w:abstractNum w15:restartNumberingAfterBreak="0" w:abstractNumId="3">
    <w:nsid w:val="FFFFFF7F"/>
    <w:multiLevelType w:val="singleLevel"/>
    <w:tmpl w:val="E594F2E2"/>
    <w:lvl w:ilvl="0">
      <w:start w:val="1"/>
      <w:numFmt w:val="decimal"/>
      <w:lvlText w:val="%1."/>
      <w:lvlJc w:val="left"/>
      <w:pPr>
        <w:tabs>
          <w:tab w:pos="643" w:val="num"/>
        </w:tabs>
        <w:ind w:hanging="360" w:left="643"/>
      </w:pPr>
    </w:lvl>
  </w:abstractNum>
  <w:abstractNum w15:restartNumberingAfterBreak="0" w:abstractNumId="4">
    <w:nsid w:val="FFFFFF80"/>
    <w:multiLevelType w:val="singleLevel"/>
    <w:tmpl w:val="6E66B318"/>
    <w:lvl w:ilvl="0">
      <w:start w:val="1"/>
      <w:numFmt w:val="bullet"/>
      <w:lvlText w:val=""/>
      <w:lvlJc w:val="left"/>
      <w:pPr>
        <w:tabs>
          <w:tab w:pos="1492" w:val="num"/>
        </w:tabs>
        <w:ind w:hanging="360" w:left="1492"/>
      </w:pPr>
      <w:rPr>
        <w:rFonts w:ascii="Symbol" w:hAnsi="Symbol" w:hint="default"/>
      </w:rPr>
    </w:lvl>
  </w:abstractNum>
  <w:abstractNum w15:restartNumberingAfterBreak="0" w:abstractNumId="5">
    <w:nsid w:val="FFFFFF81"/>
    <w:multiLevelType w:val="singleLevel"/>
    <w:tmpl w:val="D8A4A0EE"/>
    <w:lvl w:ilvl="0">
      <w:start w:val="1"/>
      <w:numFmt w:val="bullet"/>
      <w:lvlText w:val=""/>
      <w:lvlJc w:val="left"/>
      <w:pPr>
        <w:tabs>
          <w:tab w:pos="1209" w:val="num"/>
        </w:tabs>
        <w:ind w:hanging="360" w:left="1209"/>
      </w:pPr>
      <w:rPr>
        <w:rFonts w:ascii="Symbol" w:hAnsi="Symbol" w:hint="default"/>
      </w:rPr>
    </w:lvl>
  </w:abstractNum>
  <w:abstractNum w15:restartNumberingAfterBreak="0" w:abstractNumId="6">
    <w:nsid w:val="FFFFFF82"/>
    <w:multiLevelType w:val="singleLevel"/>
    <w:tmpl w:val="6DDAD486"/>
    <w:lvl w:ilvl="0">
      <w:start w:val="1"/>
      <w:numFmt w:val="bullet"/>
      <w:lvlText w:val=""/>
      <w:lvlJc w:val="left"/>
      <w:pPr>
        <w:tabs>
          <w:tab w:pos="926" w:val="num"/>
        </w:tabs>
        <w:ind w:hanging="360" w:left="926"/>
      </w:pPr>
      <w:rPr>
        <w:rFonts w:ascii="Symbol" w:hAnsi="Symbol" w:hint="default"/>
      </w:rPr>
    </w:lvl>
  </w:abstractNum>
  <w:abstractNum w15:restartNumberingAfterBreak="0" w:abstractNumId="7">
    <w:nsid w:val="FFFFFF83"/>
    <w:multiLevelType w:val="singleLevel"/>
    <w:tmpl w:val="52367CF6"/>
    <w:lvl w:ilvl="0">
      <w:start w:val="1"/>
      <w:numFmt w:val="bullet"/>
      <w:lvlText w:val=""/>
      <w:lvlJc w:val="left"/>
      <w:pPr>
        <w:tabs>
          <w:tab w:pos="643" w:val="num"/>
        </w:tabs>
        <w:ind w:hanging="360" w:left="643"/>
      </w:pPr>
      <w:rPr>
        <w:rFonts w:ascii="Symbol" w:hAnsi="Symbol" w:hint="default"/>
      </w:rPr>
    </w:lvl>
  </w:abstractNum>
  <w:abstractNum w15:restartNumberingAfterBreak="0" w:abstractNumId="8">
    <w:nsid w:val="FFFFFF88"/>
    <w:multiLevelType w:val="singleLevel"/>
    <w:tmpl w:val="8C32E906"/>
    <w:lvl w:ilvl="0">
      <w:start w:val="1"/>
      <w:numFmt w:val="decimal"/>
      <w:lvlText w:val="%1."/>
      <w:lvlJc w:val="left"/>
      <w:pPr>
        <w:tabs>
          <w:tab w:pos="360" w:val="num"/>
        </w:tabs>
        <w:ind w:hanging="360" w:left="360"/>
      </w:pPr>
    </w:lvl>
  </w:abstractNum>
  <w:abstractNum w15:restartNumberingAfterBreak="0" w:abstractNumId="9">
    <w:nsid w:val="FFFFFF89"/>
    <w:multiLevelType w:val="singleLevel"/>
    <w:tmpl w:val="927ACD5E"/>
    <w:lvl w:ilvl="0">
      <w:start w:val="1"/>
      <w:numFmt w:val="bullet"/>
      <w:lvlText w:val=""/>
      <w:lvlJc w:val="left"/>
      <w:pPr>
        <w:tabs>
          <w:tab w:pos="360" w:val="num"/>
        </w:tabs>
        <w:ind w:hanging="360" w:left="360"/>
      </w:pPr>
      <w:rPr>
        <w:rFonts w:ascii="Symbol" w:hAnsi="Symbol" w:hint="default"/>
      </w:rPr>
    </w:lvl>
  </w:abstractNum>
  <w:abstractNum w15:restartNumberingAfterBreak="0" w:abstractNumId="10">
    <w:nsid w:val="170CD2DE"/>
    <w:multiLevelType w:val="multilevel"/>
    <w:tmpl w:val="60E481FA"/>
    <w:lvl w:ilvl="0">
      <w:numFmt w:val="bullet"/>
      <w:lvlText w:val=" "/>
      <w:lvlJc w:val="left"/>
      <w:pPr>
        <w:tabs>
          <w:tab w:pos="0" w:val="num"/>
        </w:tabs>
        <w:ind w:hanging="480" w:left="480"/>
      </w:pPr>
    </w:lvl>
    <w:lvl w:ilvl="1">
      <w:numFmt w:val="bullet"/>
      <w:lvlText w:val=" "/>
      <w:lvlJc w:val="left"/>
      <w:pPr>
        <w:tabs>
          <w:tab w:pos="720" w:val="num"/>
        </w:tabs>
        <w:ind w:hanging="480" w:left="1200"/>
      </w:pPr>
    </w:lvl>
    <w:lvl w:ilvl="2">
      <w:numFmt w:val="bullet"/>
      <w:lvlText w:val=" "/>
      <w:lvlJc w:val="left"/>
      <w:pPr>
        <w:tabs>
          <w:tab w:pos="1440" w:val="num"/>
        </w:tabs>
        <w:ind w:hanging="480" w:left="1920"/>
      </w:pPr>
    </w:lvl>
    <w:lvl w:ilvl="3">
      <w:numFmt w:val="bullet"/>
      <w:lvlText w:val=" "/>
      <w:lvlJc w:val="left"/>
      <w:pPr>
        <w:tabs>
          <w:tab w:pos="2160" w:val="num"/>
        </w:tabs>
        <w:ind w:hanging="480" w:left="2640"/>
      </w:pPr>
    </w:lvl>
    <w:lvl w:ilvl="4">
      <w:numFmt w:val="bullet"/>
      <w:lvlText w:val=" "/>
      <w:lvlJc w:val="left"/>
      <w:pPr>
        <w:tabs>
          <w:tab w:pos="2880" w:val="num"/>
        </w:tabs>
        <w:ind w:hanging="480" w:left="3360"/>
      </w:pPr>
    </w:lvl>
    <w:lvl w:ilvl="5">
      <w:numFmt w:val="bullet"/>
      <w:lvlText w:val=" "/>
      <w:lvlJc w:val="left"/>
      <w:pPr>
        <w:tabs>
          <w:tab w:pos="3600" w:val="num"/>
        </w:tabs>
        <w:ind w:hanging="480" w:left="4080"/>
      </w:pPr>
    </w:lvl>
    <w:lvl w:ilvl="6">
      <w:numFmt w:val="bullet"/>
      <w:lvlText w:val=" "/>
      <w:lvlJc w:val="left"/>
      <w:pPr>
        <w:tabs>
          <w:tab w:pos="4320" w:val="num"/>
        </w:tabs>
        <w:ind w:hanging="480" w:left="4800"/>
      </w:pPr>
    </w:lvl>
    <w:lvl w:ilvl="7">
      <w:numFmt w:val="bullet"/>
      <w:lvlText w:val=" "/>
      <w:lvlJc w:val="left"/>
      <w:pPr>
        <w:tabs>
          <w:tab w:pos="5040" w:val="num"/>
        </w:tabs>
        <w:ind w:hanging="480" w:left="5520"/>
      </w:pPr>
    </w:lvl>
    <w:lvl w:ilvl="8">
      <w:numFmt w:val="bullet"/>
      <w:lvlText w:val=" "/>
      <w:lvlJc w:val="left"/>
      <w:pPr>
        <w:tabs>
          <w:tab w:pos="5760" w:val="num"/>
        </w:tabs>
        <w:ind w:hanging="480" w:left="6240"/>
      </w:pPr>
    </w:lvl>
  </w:abstractNum>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16cid:durableId="1124693139" w:numId="1">
    <w:abstractNumId w:val="10"/>
  </w:num>
  <w:num w16cid:durableId="1210262218" w:numId="2">
    <w:abstractNumId w:val="9"/>
  </w:num>
  <w:num w16cid:durableId="1124689705" w:numId="3">
    <w:abstractNumId w:val="8"/>
  </w:num>
  <w:num w16cid:durableId="731544624" w:numId="4">
    <w:abstractNumId w:val="7"/>
  </w:num>
  <w:num w16cid:durableId="1488861656" w:numId="5">
    <w:abstractNumId w:val="6"/>
  </w:num>
  <w:num w16cid:durableId="477959411" w:numId="6">
    <w:abstractNumId w:val="5"/>
  </w:num>
  <w:num w16cid:durableId="1839954500" w:numId="7">
    <w:abstractNumId w:val="4"/>
  </w:num>
  <w:num w16cid:durableId="1867252605" w:numId="8">
    <w:abstractNumId w:val="3"/>
  </w:num>
  <w:num w16cid:durableId="321127133" w:numId="9">
    <w:abstractNumId w:val="2"/>
  </w:num>
  <w:num w16cid:durableId="1366759467" w:numId="10">
    <w:abstractNumId w:val="1"/>
  </w:num>
  <w:num w16cid:durableId="1472140782" w:numId="11">
    <w:abstractNumId w:val="0"/>
  </w:num>
  <w:num w16cid:durableId="67659437" w:numId="12">
    <w:abstractNumId w:val="8"/>
  </w:num>
  <w:num w16cid:durableId="1389105613" w:numId="13">
    <w:abstractNumId w:val="3"/>
  </w:num>
  <w:num w16cid:durableId="658114841" w:numId="14">
    <w:abstractNumId w:val="2"/>
  </w:num>
  <w:num w16cid:durableId="166673275" w:numId="15">
    <w:abstractNumId w:val="1"/>
  </w:num>
  <w:num w16cid:durableId="758989341" w:numId="16">
    <w:abstractNumId w:val="0"/>
  </w:num>
  <w:num w16cid:durableId="1604849100" w:numId="17">
    <w:abstractNumId w:val="8"/>
  </w:num>
  <w:num w16cid:durableId="1872376338" w:numId="18">
    <w:abstractNumId w:val="3"/>
  </w:num>
  <w:num w16cid:durableId="453255074" w:numId="19">
    <w:abstractNumId w:val="2"/>
  </w:num>
  <w:num w16cid:durableId="1519193340" w:numId="20">
    <w:abstractNumId w:val="1"/>
  </w:num>
  <w:num w16cid:durableId="64183687" w:numId="21">
    <w:abstractNumId w:val="0"/>
  </w:num>
  <w:num w16cid:durableId="1881046726" w:numId="22">
    <w:abstractNumId w:val="8"/>
  </w:num>
  <w:num w16cid:durableId="293291141" w:numId="23">
    <w:abstractNumId w:val="3"/>
  </w:num>
  <w:num w16cid:durableId="226040243" w:numId="24">
    <w:abstractNumId w:val="2"/>
  </w:num>
  <w:num w16cid:durableId="350768483" w:numId="25">
    <w:abstractNumId w:val="1"/>
  </w:num>
  <w:num w16cid:durableId="1284187935" w:numId="26">
    <w:abstractNumId w:val="0"/>
  </w:num>
  <w:num w16cid:durableId="567613641" w:numId="27">
    <w:abstractNumId w:val="8"/>
  </w:num>
  <w:num w16cid:durableId="1992830610" w:numId="28">
    <w:abstractNumId w:val="3"/>
  </w:num>
  <w:num w16cid:durableId="1277299286" w:numId="29">
    <w:abstractNumId w:val="2"/>
  </w:num>
  <w:num w16cid:durableId="1384132582" w:numId="30">
    <w:abstractNumId w:val="1"/>
  </w:num>
  <w:num w16cid:durableId="242884524" w:numId="31">
    <w:abstractNumId w:val="0"/>
  </w:num>
  <w:num w16cid:durableId="237254149" w:numId="32">
    <w:abstractNumId w:val="8"/>
  </w:num>
  <w:num w16cid:durableId="1249122975" w:numId="33">
    <w:abstractNumId w:val="3"/>
  </w:num>
  <w:num w16cid:durableId="561871531" w:numId="34">
    <w:abstractNumId w:val="2"/>
  </w:num>
  <w:num w16cid:durableId="601885692" w:numId="35">
    <w:abstractNumId w:val="1"/>
  </w:num>
  <w:num w16cid:durableId="721565719" w:numId="36">
    <w:abstractNumId w:val="0"/>
  </w:num>
  <w:num w16cid:durableId="561983021" w:numId="37">
    <w:abstractNumId w:val="8"/>
  </w:num>
  <w:num w16cid:durableId="382675534" w:numId="38">
    <w:abstractNumId w:val="3"/>
  </w:num>
  <w:num w16cid:durableId="1214853816" w:numId="39">
    <w:abstractNumId w:val="2"/>
  </w:num>
  <w:num w16cid:durableId="1796213138" w:numId="40">
    <w:abstractNumId w:val="1"/>
  </w:num>
  <w:num w16cid:durableId="397673562" w:numId="41">
    <w:abstractNumId w:val="0"/>
  </w:num>
  <w:num w16cid:durableId="1903372981" w:numId="42">
    <w:abstractNumId w:val="8"/>
  </w:num>
  <w:num w16cid:durableId="1587641893" w:numId="43">
    <w:abstractNumId w:val="3"/>
  </w:num>
  <w:num w16cid:durableId="985553758" w:numId="44">
    <w:abstractNumId w:val="2"/>
  </w:num>
  <w:num w16cid:durableId="2129279502" w:numId="45">
    <w:abstractNumId w:val="1"/>
  </w:num>
  <w:num w16cid:durableId="689642307" w:numId="46">
    <w:abstractNumId w:val="0"/>
  </w:num>
  <w:num w16cid:durableId="283316381" w:numId="47">
    <w:abstractNumId w:val="8"/>
  </w:num>
  <w:num w16cid:durableId="667514414" w:numId="48">
    <w:abstractNumId w:val="3"/>
  </w:num>
  <w:num w16cid:durableId="999625841" w:numId="49">
    <w:abstractNumId w:val="2"/>
  </w:num>
  <w:num w16cid:durableId="631595333" w:numId="50">
    <w:abstractNumId w:val="1"/>
  </w:num>
  <w:num w16cid:durableId="409087350" w:numId="51">
    <w:abstractNumId w:val="0"/>
  </w:num>
  <w:num w16cid:durableId="1417166918" w:numId="52">
    <w:abstractNumId w:val="8"/>
  </w:num>
  <w:num w16cid:durableId="1397167355" w:numId="53">
    <w:abstractNumId w:val="3"/>
  </w:num>
  <w:num w16cid:durableId="359428694" w:numId="54">
    <w:abstractNumId w:val="2"/>
  </w:num>
  <w:num w16cid:durableId="1877965538" w:numId="55">
    <w:abstractNumId w:val="1"/>
  </w:num>
  <w:num w16cid:durableId="1690907755" w:numId="56">
    <w:abstractNumId w:val="0"/>
  </w:num>
  <w:num w16cid:durableId="1847744294" w:numId="57">
    <w:abstractNumId w:val="8"/>
  </w:num>
  <w:num w16cid:durableId="625551729" w:numId="58">
    <w:abstractNumId w:val="3"/>
  </w:num>
  <w:num w16cid:durableId="80106395" w:numId="59">
    <w:abstractNumId w:val="2"/>
  </w:num>
  <w:num w16cid:durableId="680817095" w:numId="60">
    <w:abstractNumId w:val="1"/>
  </w:num>
  <w:num w16cid:durableId="1696883699" w:numId="61">
    <w:abstractNumId w:val="0"/>
  </w:num>
  <w:num w16cid:durableId="764963967" w:numId="62">
    <w:abstractNumId w:val="8"/>
  </w:num>
  <w:num w16cid:durableId="1771704117" w:numId="63">
    <w:abstractNumId w:val="3"/>
  </w:num>
  <w:num w16cid:durableId="1330250043" w:numId="64">
    <w:abstractNumId w:val="2"/>
  </w:num>
  <w:num w16cid:durableId="82340849" w:numId="65">
    <w:abstractNumId w:val="1"/>
  </w:num>
  <w:num w16cid:durableId="1166436873" w:numId="66">
    <w:abstractNumId w:val="0"/>
  </w:num>
  <w:num w16cid:durableId="1345087903" w:numId="67">
    <w:abstractNumId w:val="8"/>
  </w:num>
  <w:num w16cid:durableId="1290475426" w:numId="68">
    <w:abstractNumId w:val="3"/>
  </w:num>
  <w:num w16cid:durableId="121963508" w:numId="69">
    <w:abstractNumId w:val="2"/>
  </w:num>
  <w:num w16cid:durableId="1631592308" w:numId="70">
    <w:abstractNumId w:val="1"/>
  </w:num>
  <w:num w16cid:durableId="1701979659" w:numId="71">
    <w:abstractNumId w:val="0"/>
  </w:num>
  <w:num w16cid:durableId="688723813" w:numId="72">
    <w:abstractNumId w:val="8"/>
  </w:num>
  <w:num w16cid:durableId="513108775" w:numId="73">
    <w:abstractNumId w:val="3"/>
  </w:num>
  <w:num w16cid:durableId="504173735" w:numId="74">
    <w:abstractNumId w:val="2"/>
  </w:num>
  <w:num w16cid:durableId="25448909" w:numId="75">
    <w:abstractNumId w:val="1"/>
  </w:num>
  <w:num w16cid:durableId="601105827" w:numId="76">
    <w:abstractNumId w:val="0"/>
  </w:num>
  <w:num w16cid:durableId="58747902" w:numId="77">
    <w:abstractNumId w:val="8"/>
  </w:num>
  <w:num w16cid:durableId="1772125209" w:numId="78">
    <w:abstractNumId w:val="3"/>
  </w:num>
  <w:num w16cid:durableId="1947079673" w:numId="79">
    <w:abstractNumId w:val="2"/>
  </w:num>
  <w:num w16cid:durableId="124203876" w:numId="80">
    <w:abstractNumId w:val="1"/>
  </w:num>
  <w:num w16cid:durableId="535655405" w:numId="81">
    <w:abstractNumId w:val="0"/>
  </w:num>
  <w:num w16cid:durableId="1783576686" w:numId="82">
    <w:abstractNumId w:val="8"/>
  </w:num>
  <w:num w16cid:durableId="248467469" w:numId="83">
    <w:abstractNumId w:val="3"/>
  </w:num>
  <w:num w16cid:durableId="2092382446" w:numId="84">
    <w:abstractNumId w:val="2"/>
  </w:num>
  <w:num w16cid:durableId="1056666988" w:numId="85">
    <w:abstractNumId w:val="1"/>
  </w:num>
  <w:num w16cid:durableId="225652704" w:numId="86">
    <w:abstractNumId w:val="0"/>
  </w:num>
  <w:num w16cid:durableId="2050718763" w:numId="87">
    <w:abstractNumId w:val="8"/>
  </w:num>
  <w:num w16cid:durableId="143275641" w:numId="88">
    <w:abstractNumId w:val="3"/>
  </w:num>
  <w:num w16cid:durableId="725178082" w:numId="89">
    <w:abstractNumId w:val="2"/>
  </w:num>
  <w:num w16cid:durableId="362362474" w:numId="90">
    <w:abstractNumId w:val="1"/>
  </w:num>
  <w:num w16cid:durableId="1589969554" w:numId="91">
    <w:abstractNumId w:val="0"/>
  </w:num>
  <w:num w16cid:durableId="1769932609" w:numId="92">
    <w:abstractNumId w:val="8"/>
  </w:num>
  <w:num w16cid:durableId="309555984" w:numId="93">
    <w:abstractNumId w:val="3"/>
  </w:num>
  <w:num w16cid:durableId="1299144529" w:numId="94">
    <w:abstractNumId w:val="2"/>
  </w:num>
  <w:num w16cid:durableId="1175539660" w:numId="95">
    <w:abstractNumId w:val="1"/>
  </w:num>
  <w:num w16cid:durableId="389964036" w:numId="96">
    <w:abstractNumId w:val="0"/>
  </w:num>
  <w:num w16cid:durableId="208735691" w:numId="97">
    <w:abstractNumId w:val="8"/>
  </w:num>
  <w:num w16cid:durableId="1525972922" w:numId="98">
    <w:abstractNumId w:val="3"/>
  </w:num>
  <w:num w16cid:durableId="814568665" w:numId="99">
    <w:abstractNumId w:val="2"/>
  </w:num>
  <w:num w16cid:durableId="774911176" w:numId="100">
    <w:abstractNumId w:val="1"/>
  </w:num>
  <w:num w16cid:durableId="1796412552" w:numId="101">
    <w:abstractNumId w:val="0"/>
  </w:num>
  <w:num w16cid:durableId="889847875" w:numId="102">
    <w:abstractNumId w:val="8"/>
  </w:num>
  <w:num w16cid:durableId="114912344" w:numId="103">
    <w:abstractNumId w:val="3"/>
  </w:num>
  <w:num w16cid:durableId="1480876344" w:numId="104">
    <w:abstractNumId w:val="2"/>
  </w:num>
  <w:num w16cid:durableId="583076578" w:numId="105">
    <w:abstractNumId w:val="1"/>
  </w:num>
  <w:num w16cid:durableId="1874876203" w:numId="106">
    <w:abstractNumId w:val="0"/>
  </w:num>
  <w:num w16cid:durableId="1992560244" w:numId="107">
    <w:abstractNumId w:val="8"/>
  </w:num>
  <w:num w16cid:durableId="598025973" w:numId="108">
    <w:abstractNumId w:val="3"/>
  </w:num>
  <w:num w16cid:durableId="405107081" w:numId="109">
    <w:abstractNumId w:val="2"/>
  </w:num>
  <w:num w16cid:durableId="2025549233" w:numId="110">
    <w:abstractNumId w:val="1"/>
  </w:num>
  <w:num w16cid:durableId="1669216078" w:numId="111">
    <w:abstractNumId w:val="0"/>
  </w:num>
  <w:num w16cid:durableId="836770199" w:numId="112">
    <w:abstractNumId w:val="8"/>
  </w:num>
  <w:num w16cid:durableId="1622150131" w:numId="113">
    <w:abstractNumId w:val="3"/>
  </w:num>
  <w:num w16cid:durableId="1988823300" w:numId="114">
    <w:abstractNumId w:val="2"/>
  </w:num>
  <w:num w16cid:durableId="1082601273" w:numId="115">
    <w:abstractNumId w:val="1"/>
  </w:num>
  <w:num w16cid:durableId="1370178083" w:numId="116">
    <w:abstractNumId w:val="0"/>
  </w:num>
  <w:num w16cid:durableId="580679335" w:numId="117">
    <w:abstractNumId w:val="8"/>
  </w:num>
  <w:num w16cid:durableId="973103423" w:numId="118">
    <w:abstractNumId w:val="3"/>
  </w:num>
  <w:num w16cid:durableId="881861565" w:numId="119">
    <w:abstractNumId w:val="2"/>
  </w:num>
  <w:num w16cid:durableId="750736368" w:numId="120">
    <w:abstractNumId w:val="1"/>
  </w:num>
  <w:num w16cid:durableId="1373387839" w:numId="121">
    <w:abstractNumId w:val="0"/>
  </w:num>
  <w:num w16cid:durableId="907685908" w:numId="122">
    <w:abstractNumId w:val="8"/>
  </w:num>
  <w:num w16cid:durableId="620501486" w:numId="123">
    <w:abstractNumId w:val="3"/>
  </w:num>
  <w:num w16cid:durableId="446043719" w:numId="124">
    <w:abstractNumId w:val="2"/>
  </w:num>
  <w:num w16cid:durableId="1033771088" w:numId="125">
    <w:abstractNumId w:val="1"/>
  </w:num>
  <w:num w16cid:durableId="1235050304" w:numId="126">
    <w:abstractNumId w:val="0"/>
  </w:num>
  <w:num w16cid:durableId="199902741" w:numId="127">
    <w:abstractNumId w:val="8"/>
  </w:num>
  <w:num w16cid:durableId="1046371651" w:numId="128">
    <w:abstractNumId w:val="3"/>
  </w:num>
  <w:num w16cid:durableId="1445611969" w:numId="129">
    <w:abstractNumId w:val="2"/>
  </w:num>
  <w:num w16cid:durableId="1606494288" w:numId="130">
    <w:abstractNumId w:val="1"/>
  </w:num>
  <w:num w16cid:durableId="1125854417" w:numId="131">
    <w:abstractNumId w:val="0"/>
  </w:num>
  <w:num w16cid:durableId="1355302728" w:numId="132">
    <w:abstractNumId w:val="8"/>
  </w:num>
  <w:num w16cid:durableId="950279301" w:numId="133">
    <w:abstractNumId w:val="3"/>
  </w:num>
  <w:num w16cid:durableId="2051565447" w:numId="134">
    <w:abstractNumId w:val="2"/>
  </w:num>
  <w:num w16cid:durableId="696543370" w:numId="135">
    <w:abstractNumId w:val="1"/>
  </w:num>
  <w:num w16cid:durableId="1353845816" w:numId="136">
    <w:abstractNumId w:val="0"/>
  </w:num>
  <w:num w16cid:durableId="1129593015" w:numId="137">
    <w:abstractNumId w:val="8"/>
  </w:num>
  <w:num w16cid:durableId="1455372480" w:numId="138">
    <w:abstractNumId w:val="3"/>
  </w:num>
  <w:num w16cid:durableId="238489024" w:numId="139">
    <w:abstractNumId w:val="2"/>
  </w:num>
  <w:num w16cid:durableId="262349791" w:numId="140">
    <w:abstractNumId w:val="1"/>
  </w:num>
  <w:num w16cid:durableId="1150752914" w:numId="141">
    <w:abstractNumId w:val="0"/>
  </w:num>
  <w:num w16cid:durableId="1765178239" w:numId="142">
    <w:abstractNumId w:val="8"/>
  </w:num>
  <w:num w16cid:durableId="1032458695" w:numId="143">
    <w:abstractNumId w:val="3"/>
  </w:num>
  <w:num w16cid:durableId="1128166976" w:numId="144">
    <w:abstractNumId w:val="2"/>
  </w:num>
  <w:num w16cid:durableId="1894148799" w:numId="145">
    <w:abstractNumId w:val="1"/>
  </w:num>
  <w:num w16cid:durableId="1224215055" w:numId="146">
    <w:abstractNumId w:val="0"/>
  </w:num>
  <w:num w16cid:durableId="884097991" w:numId="147">
    <w:abstractNumId w:val="8"/>
  </w:num>
  <w:num w16cid:durableId="1658193880" w:numId="148">
    <w:abstractNumId w:val="3"/>
  </w:num>
  <w:num w16cid:durableId="264384023" w:numId="149">
    <w:abstractNumId w:val="2"/>
  </w:num>
  <w:num w16cid:durableId="2030640676" w:numId="150">
    <w:abstractNumId w:val="1"/>
  </w:num>
  <w:num w16cid:durableId="1764300915" w:numId="151">
    <w:abstractNumId w:val="0"/>
  </w:num>
  <w:num w16cid:durableId="274868847" w:numId="152">
    <w:abstractNumId w:val="8"/>
  </w:num>
  <w:num w16cid:durableId="1963725191" w:numId="153">
    <w:abstractNumId w:val="3"/>
  </w:num>
  <w:num w16cid:durableId="47382796" w:numId="154">
    <w:abstractNumId w:val="2"/>
  </w:num>
  <w:num w16cid:durableId="834803624" w:numId="155">
    <w:abstractNumId w:val="1"/>
  </w:num>
  <w:num w16cid:durableId="1907836433" w:numId="156">
    <w:abstractNumId w:val="0"/>
  </w:num>
  <w:num w16cid:durableId="335694466" w:numId="157">
    <w:abstractNumId w:val="8"/>
  </w:num>
  <w:num w16cid:durableId="1413353708" w:numId="158">
    <w:abstractNumId w:val="3"/>
  </w:num>
  <w:num w16cid:durableId="2017221835" w:numId="159">
    <w:abstractNumId w:val="2"/>
  </w:num>
  <w:num w16cid:durableId="2093504836" w:numId="160">
    <w:abstractNumId w:val="1"/>
  </w:num>
  <w:num w16cid:durableId="20983660" w:numId="161">
    <w:abstractNumId w:val="0"/>
  </w:num>
  <w:num w16cid:durableId="2130083049" w:numId="162">
    <w:abstractNumId w:val="8"/>
  </w:num>
  <w:num w16cid:durableId="2117209151" w:numId="163">
    <w:abstractNumId w:val="3"/>
  </w:num>
  <w:num w16cid:durableId="2133357024" w:numId="164">
    <w:abstractNumId w:val="2"/>
  </w:num>
  <w:num w16cid:durableId="859854129" w:numId="165">
    <w:abstractNumId w:val="1"/>
  </w:num>
  <w:num w16cid:durableId="2034574430" w:numId="166">
    <w:abstractNumId w:val="0"/>
  </w: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allStyles="0" w:alternateStyleNames="1" w:clearFormatting="0" w:customStyles="0" w:directFormattingOnNumbering="1" w:directFormattingOnParagraphs="1" w:directFormattingOnRuns="1" w:directFormattingOnTables="0" w:headingStyles="1" w:latentStyles="1" w:numberingStyles="0" w:stylesInUse="0" w:tableStyles="0" w:top3HeadingStyles="0" w:val="8724" w:visibleStyles="0"/>
  <w:stylePaneSortMethod w:val="0002"/>
  <w:doNotTrackMoves/>
  <w:defaultTabStop w:val="720"/>
  <w:drawingGridHorizontalSpacing w:val="360"/>
  <w:drawingGridVerticalSpacing w:val="360"/>
  <w:displayHorizontalDrawingGridEvery w:val="0"/>
  <w:displayVerticalDrawingGridEvery w:val="0"/>
  <w:characterSpacingControl w:val="doNotCompress"/>
  <w:savePreviewPicture/>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C41EE7"/>
    <w:rsid w:val="000436E4"/>
    <w:rsid w:val="000A6B7E"/>
    <w:rsid w:val="002069BA"/>
    <w:rsid w:val="002811B4"/>
    <w:rsid w:val="004505D5"/>
    <w:rsid w:val="005926EF"/>
    <w:rsid w:val="005A056E"/>
    <w:rsid w:val="0061129A"/>
    <w:rsid w:val="00654138"/>
    <w:rsid w:val="007803D7"/>
    <w:rsid w:val="008245C2"/>
    <w:rsid w:val="008E4D7E"/>
    <w:rsid w:val="009257D8"/>
    <w:rsid w:val="009E0377"/>
    <w:rsid w:val="00BD4EC2"/>
    <w:rsid w:val="00BF5158"/>
    <w:rsid w:val="00C41EE7"/>
    <w:rsid w:val="00C46DD1"/>
    <w:rsid w:val="00C666BF"/>
    <w:rsid w:val="00D80582"/>
    <w:rsid w:val="00E054EE"/>
    <w:rsid w:val="00E05716"/>
    <w:rsid w:val="00EB5976"/>
  </w:rsids>
  <w:themeFontLang w:val="en-US"/>
  <w:clrSchemeMapping w:accent1="accent1" w:accent2="accent2" w:accent3="accent3" w:accent4="accent4" w:accent5="accent5" w:accent6="accent6" w:bg1="light1" w:bg2="light2" w:followedHyperlink="followedHyperlink" w:hyperlink="hyperlink" w:t1="dark1" w:t2="dark2"/>
  <w:shapeDefaults>
    <o:shapedefaults spidmax="1026" v:ext="edit"/>
    <o:shapelayout v:ext="edit">
      <o:idmap data="1" v:ext="edit"/>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376" w:defLockedState="0" w:defQFormat="0" w:defSemiHidden="0" w:defUIPriority="0" w:defUnhideWhenUsed="0">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default="1" w:styleId="Normal" w:type="paragraph">
    <w:name w:val="Normal"/>
    <w:qFormat/>
    <w:rsid w:val="005926EF"/>
  </w:style>
  <w:style w:styleId="Heading1" w:type="paragraph">
    <w:name w:val="heading 1"/>
    <w:basedOn w:val="Normal"/>
    <w:next w:val="BodyText"/>
    <w:link w:val="Heading1Char"/>
    <w:uiPriority w:val="9"/>
    <w:qFormat/>
    <w:rsid w:val="0061129A"/>
    <w:pPr>
      <w:keepNext/>
      <w:keepLines/>
      <w:spacing w:after="80" w:before="360"/>
      <w:outlineLvl w:val="0"/>
    </w:pPr>
    <w:rPr>
      <w:rFonts w:ascii="Times New Roman" w:cstheme="majorBidi" w:eastAsiaTheme="majorEastAsia" w:hAnsi="Times New Roman"/>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61129A"/>
    <w:pPr>
      <w:keepNext/>
      <w:keepLines/>
      <w:spacing w:after="80" w:before="160"/>
      <w:outlineLvl w:val="2"/>
    </w:pPr>
    <w:rPr>
      <w:rFonts w:ascii="Times New Roman" w:cstheme="majorBidi" w:eastAsiaTheme="majorEastAsia" w:hAnsi="Times New Roman"/>
      <w:color w:themeColor="accent1" w:themeShade="BF" w:val="0F4761"/>
      <w:sz w:val="28"/>
      <w:szCs w:val="28"/>
    </w:rPr>
  </w:style>
  <w:style w:styleId="Heading4" w:type="paragraph">
    <w:name w:val="heading 4"/>
    <w:basedOn w:val="Normal"/>
    <w:next w:val="BodyText"/>
    <w:link w:val="Heading4Char"/>
    <w:uiPriority w:val="9"/>
    <w:semiHidden/>
    <w:unhideWhenUsed/>
    <w:qFormat/>
    <w:rsid w:val="0061129A"/>
    <w:pPr>
      <w:keepNext/>
      <w:keepLines/>
      <w:spacing w:after="40" w:before="80"/>
      <w:outlineLvl w:val="3"/>
    </w:pPr>
    <w:rPr>
      <w:rFonts w:ascii="Times New Roman" w:cstheme="majorBidi" w:eastAsiaTheme="majorEastAsia" w:hAnsi="Times New Roman"/>
      <w:i/>
      <w:iCs/>
      <w:color w:themeColor="accent1" w:themeShade="BF" w:val="0F4761"/>
    </w:rPr>
  </w:style>
  <w:style w:styleId="Heading5" w:type="paragraph">
    <w:name w:val="heading 5"/>
    <w:basedOn w:val="Normal"/>
    <w:next w:val="BodyText"/>
    <w:link w:val="Heading5Char"/>
    <w:uiPriority w:val="9"/>
    <w:semiHidden/>
    <w:unhideWhenUsed/>
    <w:qFormat/>
    <w:rsid w:val="0061129A"/>
    <w:pPr>
      <w:keepNext/>
      <w:keepLines/>
      <w:spacing w:after="40" w:before="80"/>
      <w:outlineLvl w:val="4"/>
    </w:pPr>
    <w:rPr>
      <w:rFonts w:ascii="Times New Roman" w:cstheme="majorBidi" w:eastAsiaTheme="majorEastAsia" w:hAnsi="Times New Roman"/>
      <w:color w:themeColor="accent1" w:themeShade="BF" w:val="0F4761"/>
    </w:rPr>
  </w:style>
  <w:style w:styleId="Heading6" w:type="paragraph">
    <w:name w:val="heading 6"/>
    <w:basedOn w:val="Normal"/>
    <w:next w:val="BodyText"/>
    <w:link w:val="Heading6Char"/>
    <w:uiPriority w:val="9"/>
    <w:semiHidden/>
    <w:unhideWhenUsed/>
    <w:qFormat/>
    <w:rsid w:val="0061129A"/>
    <w:pPr>
      <w:keepNext/>
      <w:keepLines/>
      <w:spacing w:after="0" w:before="40"/>
      <w:outlineLvl w:val="5"/>
    </w:pPr>
    <w:rPr>
      <w:rFonts w:ascii="Times New Roman" w:cstheme="majorBidi" w:eastAsiaTheme="majorEastAsia" w:hAnsi="Times New Roman"/>
      <w:i/>
      <w:iCs/>
      <w:color w:themeColor="text1" w:themeTint="A6" w:val="595959"/>
    </w:rPr>
  </w:style>
  <w:style w:styleId="Heading7" w:type="paragraph">
    <w:name w:val="heading 7"/>
    <w:basedOn w:val="Normal"/>
    <w:next w:val="BodyText"/>
    <w:link w:val="Heading7Char"/>
    <w:uiPriority w:val="9"/>
    <w:semiHidden/>
    <w:unhideWhenUsed/>
    <w:qFormat/>
    <w:rsid w:val="0061129A"/>
    <w:pPr>
      <w:keepNext/>
      <w:keepLines/>
      <w:spacing w:after="0" w:before="40"/>
      <w:outlineLvl w:val="6"/>
    </w:pPr>
    <w:rPr>
      <w:rFonts w:ascii="Times New Roman" w:cstheme="majorBidi" w:eastAsiaTheme="majorEastAsia" w:hAnsi="Times New Roman"/>
      <w:color w:themeColor="text1" w:themeTint="A6" w:val="595959"/>
    </w:rPr>
  </w:style>
  <w:style w:styleId="Heading8" w:type="paragraph">
    <w:name w:val="heading 8"/>
    <w:basedOn w:val="Normal"/>
    <w:next w:val="BodyText"/>
    <w:link w:val="Heading8Char"/>
    <w:uiPriority w:val="9"/>
    <w:semiHidden/>
    <w:unhideWhenUsed/>
    <w:qFormat/>
    <w:rsid w:val="0061129A"/>
    <w:pPr>
      <w:keepNext/>
      <w:keepLines/>
      <w:spacing w:after="0"/>
      <w:outlineLvl w:val="7"/>
    </w:pPr>
    <w:rPr>
      <w:rFonts w:ascii="Times New Roman" w:cstheme="majorBidi" w:eastAsiaTheme="majorEastAsia" w:hAnsi="Times New Roman"/>
      <w:i/>
      <w:iCs/>
      <w:color w:themeColor="text1" w:themeTint="D8" w:val="272727"/>
    </w:rPr>
  </w:style>
  <w:style w:styleId="Heading9" w:type="paragraph">
    <w:name w:val="heading 9"/>
    <w:basedOn w:val="Normal"/>
    <w:next w:val="BodyText"/>
    <w:link w:val="Heading9Char"/>
    <w:uiPriority w:val="9"/>
    <w:semiHidden/>
    <w:unhideWhenUsed/>
    <w:qFormat/>
    <w:rsid w:val="0061129A"/>
    <w:pPr>
      <w:keepNext/>
      <w:keepLines/>
      <w:spacing w:after="0"/>
      <w:outlineLvl w:val="8"/>
    </w:pPr>
    <w:rPr>
      <w:rFonts w:ascii="Times New Roman" w:cstheme="majorBidi" w:eastAsiaTheme="majorEastAsia" w:hAnsi="Times New Roman"/>
      <w:color w:themeColor="text1" w:themeTint="D8" w:val="272727"/>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BodyText" w:type="paragraph">
    <w:name w:val="Body Text"/>
    <w:basedOn w:val="Normal"/>
    <w:link w:val="BodyTextChar"/>
    <w:qFormat/>
    <w:rsid w:val="00D80582"/>
    <w:pPr>
      <w:spacing w:after="180" w:before="180"/>
    </w:pPr>
    <w:rPr>
      <w:rFonts w:ascii="Times New Roman" w:hAnsi="Times New Roman"/>
    </w:r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E054EE"/>
    <w:pPr>
      <w:spacing w:after="80"/>
      <w:contextualSpacing/>
      <w:jc w:val="center"/>
    </w:pPr>
    <w:rPr>
      <w:rFonts w:ascii="Times New Roman" w:cstheme="majorBidi" w:eastAsiaTheme="majorEastAsia" w:hAnsi="Times New Roman"/>
      <w:spacing w:val="-10"/>
      <w:kern w:val="28"/>
      <w:sz w:val="56"/>
      <w:szCs w:val="56"/>
    </w:rPr>
  </w:style>
  <w:style w:customStyle="1" w:styleId="TitleChar" w:type="character">
    <w:name w:val="Title Char"/>
    <w:basedOn w:val="DefaultParagraphFont"/>
    <w:link w:val="Title"/>
    <w:uiPriority w:val="10"/>
    <w:rsid w:val="00E054EE"/>
    <w:rPr>
      <w:rFonts w:ascii="Times New Roman" w:cstheme="majorBidi" w:eastAsiaTheme="majorEastAsia" w:hAnsi="Times New Roman"/>
      <w:spacing w:val="-10"/>
      <w:kern w:val="28"/>
      <w:sz w:val="56"/>
      <w:szCs w:val="56"/>
    </w:rPr>
  </w:style>
  <w:style w:styleId="Subtitle" w:type="paragraph">
    <w:name w:val="Subtitle"/>
    <w:basedOn w:val="Title"/>
    <w:next w:val="BodyText"/>
    <w:link w:val="SubtitleChar"/>
    <w:uiPriority w:val="11"/>
    <w:qFormat/>
    <w:rsid w:val="00A10FD9"/>
    <w:pPr>
      <w:numPr>
        <w:ilvl w:val="1"/>
      </w:numPr>
    </w:pPr>
    <w:rPr>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autoRedefine/>
    <w:qFormat/>
    <w:rsid w:val="00E05716"/>
    <w:pPr>
      <w:keepNext/>
      <w:keepLines/>
      <w:jc w:val="center"/>
    </w:pPr>
    <w:rPr>
      <w:rFonts w:ascii="Times New Roman" w:hAnsi="Times New Roman"/>
    </w:rPr>
  </w:style>
  <w:style w:styleId="Date" w:type="paragraph">
    <w:name w:val="Date"/>
    <w:next w:val="BodyText"/>
    <w:qFormat/>
    <w:rsid w:val="0061129A"/>
    <w:pPr>
      <w:keepNext/>
      <w:keepLines/>
      <w:jc w:val="center"/>
    </w:pPr>
    <w:rPr>
      <w:rFonts w:ascii="Times New Roman" w:hAnsi="Times New Roman"/>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rsid w:val="0061129A"/>
    <w:pPr>
      <w:keepNext/>
      <w:keepLines/>
      <w:spacing w:after="300" w:before="100"/>
    </w:pPr>
    <w:rPr>
      <w:rFonts w:ascii="Times New Roman" w:hAnsi="Times New Roman"/>
      <w:sz w:val="20"/>
      <w:szCs w:val="20"/>
    </w:rPr>
  </w:style>
  <w:style w:styleId="Bibliography" w:type="paragraph">
    <w:name w:val="Bibliography"/>
    <w:basedOn w:val="Normal"/>
    <w:qFormat/>
  </w:style>
  <w:style w:customStyle="1" w:styleId="Heading1Char" w:type="character">
    <w:name w:val="Heading 1 Char"/>
    <w:basedOn w:val="DefaultParagraphFont"/>
    <w:link w:val="Heading1"/>
    <w:uiPriority w:val="9"/>
    <w:rsid w:val="0061129A"/>
    <w:rPr>
      <w:rFonts w:ascii="Times New Roman" w:cstheme="majorBidi" w:eastAsiaTheme="majorEastAsia" w:hAnsi="Times New Roman"/>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61129A"/>
    <w:rPr>
      <w:rFonts w:ascii="Times New Roman" w:cstheme="majorBidi" w:eastAsiaTheme="majorEastAsia" w:hAnsi="Times New Roman"/>
      <w:color w:themeColor="accent1" w:themeShade="BF" w:val="0F4761"/>
      <w:sz w:val="28"/>
      <w:szCs w:val="28"/>
    </w:rPr>
  </w:style>
  <w:style w:customStyle="1" w:styleId="Heading4Char" w:type="character">
    <w:name w:val="Heading 4 Char"/>
    <w:basedOn w:val="DefaultParagraphFont"/>
    <w:link w:val="Heading4"/>
    <w:uiPriority w:val="9"/>
    <w:semiHidden/>
    <w:rsid w:val="0061129A"/>
    <w:rPr>
      <w:rFonts w:ascii="Times New Roman" w:cstheme="majorBidi" w:eastAsiaTheme="majorEastAsia" w:hAnsi="Times New Roman"/>
      <w:i/>
      <w:iCs/>
      <w:color w:themeColor="accent1" w:themeShade="BF" w:val="0F4761"/>
    </w:rPr>
  </w:style>
  <w:style w:customStyle="1" w:styleId="Heading5Char" w:type="character">
    <w:name w:val="Heading 5 Char"/>
    <w:basedOn w:val="DefaultParagraphFont"/>
    <w:link w:val="Heading5"/>
    <w:uiPriority w:val="9"/>
    <w:semiHidden/>
    <w:rsid w:val="0061129A"/>
    <w:rPr>
      <w:rFonts w:ascii="Times New Roman" w:cstheme="majorBidi" w:eastAsiaTheme="majorEastAsia" w:hAnsi="Times New Roman"/>
      <w:color w:themeColor="accent1" w:themeShade="BF" w:val="0F4761"/>
    </w:rPr>
  </w:style>
  <w:style w:customStyle="1" w:styleId="Heading6Char" w:type="character">
    <w:name w:val="Heading 6 Char"/>
    <w:basedOn w:val="DefaultParagraphFont"/>
    <w:link w:val="Heading6"/>
    <w:uiPriority w:val="9"/>
    <w:semiHidden/>
    <w:rsid w:val="0061129A"/>
    <w:rPr>
      <w:rFonts w:ascii="Times New Roman" w:cstheme="majorBidi" w:eastAsiaTheme="majorEastAsia" w:hAnsi="Times New Roman"/>
      <w:i/>
      <w:iCs/>
      <w:color w:themeColor="text1" w:themeTint="A6" w:val="595959"/>
    </w:rPr>
  </w:style>
  <w:style w:customStyle="1" w:styleId="Heading7Char" w:type="character">
    <w:name w:val="Heading 7 Char"/>
    <w:basedOn w:val="DefaultParagraphFont"/>
    <w:link w:val="Heading7"/>
    <w:uiPriority w:val="9"/>
    <w:semiHidden/>
    <w:rsid w:val="0061129A"/>
    <w:rPr>
      <w:rFonts w:ascii="Times New Roman" w:cstheme="majorBidi" w:eastAsiaTheme="majorEastAsia" w:hAnsi="Times New Roman"/>
      <w:color w:themeColor="text1" w:themeTint="A6" w:val="595959"/>
    </w:rPr>
  </w:style>
  <w:style w:customStyle="1" w:styleId="Heading8Char" w:type="character">
    <w:name w:val="Heading 8 Char"/>
    <w:basedOn w:val="DefaultParagraphFont"/>
    <w:link w:val="Heading8"/>
    <w:uiPriority w:val="9"/>
    <w:semiHidden/>
    <w:rsid w:val="0061129A"/>
    <w:rPr>
      <w:rFonts w:ascii="Times New Roman" w:cstheme="majorBidi" w:eastAsiaTheme="majorEastAsia" w:hAnsi="Times New Roman"/>
      <w:i/>
      <w:iCs/>
      <w:color w:themeColor="text1" w:themeTint="D8" w:val="272727"/>
    </w:rPr>
  </w:style>
  <w:style w:customStyle="1" w:styleId="Heading9Char" w:type="character">
    <w:name w:val="Heading 9 Char"/>
    <w:basedOn w:val="DefaultParagraphFont"/>
    <w:link w:val="Heading9"/>
    <w:uiPriority w:val="9"/>
    <w:semiHidden/>
    <w:rsid w:val="0061129A"/>
    <w:rPr>
      <w:rFonts w:ascii="Times New Roman" w:cstheme="majorBidi" w:eastAsiaTheme="majorEastAsia" w:hAnsi="Times New Roman"/>
      <w:color w:themeColor="text1" w:themeTint="D8" w:val="272727"/>
    </w:rPr>
  </w:style>
  <w:style w:styleId="BlockText" w:type="paragraph">
    <w:name w:val="Block Text"/>
    <w:basedOn w:val="BodyText"/>
    <w:next w:val="BodyText"/>
    <w:uiPriority w:val="9"/>
    <w:unhideWhenUsed/>
    <w:qFormat/>
    <w:pPr>
      <w:spacing w:after="100" w:before="100"/>
      <w:ind w:left="480" w:right="480"/>
    </w:pPr>
  </w:style>
  <w:style w:styleId="FootnoteText" w:type="paragraph">
    <w:name w:val="footnote text"/>
    <w:basedOn w:val="Normal"/>
    <w:uiPriority w:val="9"/>
    <w:unhideWhenUsed/>
    <w:qFormat/>
    <w:rsid w:val="002069BA"/>
    <w:rPr>
      <w:rFonts w:ascii="Times New Roman" w:hAnsi="Times New Roman"/>
    </w:rPr>
  </w:style>
  <w:style w:customStyle="1" w:styleId="FootnoteBlockText" w:type="paragraph">
    <w:name w:val="Footnote Block Text"/>
    <w:basedOn w:val="FootnoteText"/>
    <w:next w:val="FootnoteText"/>
    <w:uiPriority w:val="9"/>
    <w:unhideWhenUsed/>
    <w:qFormat/>
    <w:pPr>
      <w:spacing w:after="100" w:before="100"/>
      <w:ind w:left="480" w:right="480"/>
    </w:pPr>
  </w:style>
  <w:style w:customStyle="1" w:styleId="Table" w:type="table">
    <w:name w:val="Table"/>
    <w:semiHidden/>
    <w:unhideWhenUsed/>
    <w:qFormat/>
    <w:rsid w:val="00C46DD1"/>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tblStylePr w:type="firstRow">
      <w:tblPr>
        <w:jc w:val="left"/>
      </w:tblPr>
      <w:trPr>
        <w:jc w:val="left"/>
      </w:trPr>
      <w:tcPr>
        <w:tcBorders>
          <w:bottom w:color="auto" w:space="0" w:sz="0" w:val="single"/>
        </w:tcBorders>
        <w:vAlign w:val="bottom"/>
      </w:tcPr>
    </w:tblStylePr>
  </w:style>
  <w:style w:customStyle="1" w:styleId="DefinitionTerm" w:type="paragraph">
    <w:name w:val="Definition Term"/>
    <w:basedOn w:val="Normal"/>
    <w:next w:val="Definition"/>
    <w:rsid w:val="002069BA"/>
    <w:pPr>
      <w:keepNext/>
      <w:keepLines/>
      <w:spacing w:after="0"/>
    </w:pPr>
    <w:rPr>
      <w:rFonts w:ascii="Times New Roman" w:hAnsi="Times New Roman"/>
      <w:b/>
    </w:rPr>
  </w:style>
  <w:style w:customStyle="1" w:styleId="Definition" w:type="paragraph">
    <w:name w:val="Definition"/>
    <w:basedOn w:val="Normal"/>
    <w:rsid w:val="002069BA"/>
    <w:rPr>
      <w:rFonts w:ascii="Times New Roman" w:hAnsi="Times New Roman"/>
    </w:rPr>
  </w:style>
  <w:style w:styleId="Caption" w:type="paragraph">
    <w:name w:val="caption"/>
    <w:basedOn w:val="Normal"/>
    <w:link w:val="CaptionChar"/>
    <w:pPr>
      <w:spacing w:after="120"/>
    </w:pPr>
    <w:rPr>
      <w:i/>
    </w:rPr>
  </w:style>
  <w:style w:customStyle="1" w:styleId="TableCaption" w:type="paragraph">
    <w:name w:val="Table Caption"/>
    <w:basedOn w:val="Caption"/>
    <w:pPr>
      <w:keepNext/>
    </w:pPr>
  </w:style>
  <w:style w:customStyle="1" w:styleId="ImageCaption" w:type="paragraph">
    <w:name w:val="Image Caption"/>
    <w:basedOn w:val="Caption"/>
    <w:rsid w:val="002069BA"/>
    <w:rPr>
      <w:rFonts w:ascii="Times New Roman" w:hAnsi="Times New Roman"/>
    </w:rPr>
  </w:style>
  <w:style w:customStyle="1" w:styleId="Figure" w:type="paragraph">
    <w:name w:val="Figure"/>
    <w:basedOn w:val="Normal"/>
  </w:style>
  <w:style w:customStyle="1" w:styleId="CaptionedFigure" w:type="paragraph">
    <w:name w:val="Captioned Figure"/>
    <w:basedOn w:val="Figure"/>
    <w:pPr>
      <w:keepNext/>
    </w:pPr>
  </w:style>
  <w:style w:customStyle="1" w:styleId="CaptionChar" w:type="character">
    <w:name w:val="Caption Char"/>
    <w:basedOn w:val="DefaultParagraphFont"/>
    <w:link w:val="Caption"/>
  </w:style>
  <w:style w:customStyle="1" w:styleId="VerbatimChar" w:type="character">
    <w:name w:val="Verbatim Char"/>
    <w:basedOn w:val="CaptionChar"/>
    <w:rPr>
      <w:rFonts w:ascii="Consolas" w:hAnsi="Consolas"/>
      <w:sz w:val="22"/>
    </w:rPr>
  </w:style>
  <w:style w:customStyle="1" w:styleId="SectionNumber" w:type="character">
    <w:name w:val="Section Number"/>
    <w:basedOn w:val="CaptionChar"/>
  </w:style>
  <w:style w:styleId="FootnoteReference" w:type="character">
    <w:name w:val="footnote reference"/>
    <w:basedOn w:val="CaptionChar"/>
    <w:rPr>
      <w:vertAlign w:val="superscript"/>
    </w:rPr>
  </w:style>
  <w:style w:styleId="Hyperlink" w:type="character">
    <w:name w:val="Hyperlink"/>
    <w:basedOn w:val="CaptionChar"/>
    <w:rPr>
      <w:color w:themeColor="accent1" w:val="156082"/>
    </w:rPr>
  </w:style>
  <w:style w:styleId="TOCHeading" w:type="paragraph">
    <w:name w:val="TOC Heading"/>
    <w:basedOn w:val="Heading1"/>
    <w:next w:val="BodyText"/>
    <w:uiPriority w:val="39"/>
    <w:unhideWhenUsed/>
    <w:qFormat/>
    <w:pPr>
      <w:spacing w:before="240" w:line="259" w:lineRule="auto"/>
      <w:outlineLvl w:val="9"/>
    </w:pPr>
  </w:style>
  <w:style w:customStyle="1" w:styleId="BodyTextChar" w:type="character">
    <w:name w:val="Body Text Char"/>
    <w:basedOn w:val="DefaultParagraphFont"/>
    <w:link w:val="BodyText"/>
    <w:rsid w:val="005926EF"/>
    <w:rPr>
      <w:rFonts w:ascii="Times New Roman" w:hAnsi="Times New Roman"/>
    </w:rPr>
  </w:style>
  <w:style w:customStyle="1" w:styleId="StyleHeading2TimesNewRoman" w:type="paragraph">
    <w:name w:val="Style Heading 2 + Times New Roman"/>
    <w:basedOn w:val="Heading2"/>
    <w:rsid w:val="0061129A"/>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1</Pages>
  <Words>63</Words>
  <Characters>363</Characters>
  <Application>Microsoft Office Word</Application>
  <DocSecurity>0</DocSecurity>
  <Lines>3</Lines>
  <Paragraphs>1</Paragraphs>
  <ScaleCrop>false</ScaleCrop>
  <Company/>
  <LinksUpToDate>false</LinksUpToDate>
  <CharactersWithSpaces>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1970-01-01T00:00:00Z</dcterms:created>
  <dcterms:modified xsi:type="dcterms:W3CDTF">1970-01-01T00:00:00Z</dcterms:modified>
</cp:coreProperties>
</file>

<file path=docProps/custom.xml><?xml version="1.0" encoding="utf-8"?>
<Properties xmlns="http://schemas.openxmlformats.org/officeDocument/2006/custom-properties" xmlns:vt="http://schemas.openxmlformats.org/officeDocument/2006/docPropsVTypes"/>
</file>